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690F" w14:textId="77777777" w:rsidR="0000025D" w:rsidRPr="0073136F" w:rsidRDefault="0000025D">
      <w:pPr>
        <w:pStyle w:val="Tekstpodstawowy"/>
        <w:spacing w:before="3"/>
        <w:ind w:left="0" w:firstLine="0"/>
        <w:jc w:val="left"/>
        <w:rPr>
          <w:rFonts w:ascii="Times New Roman"/>
          <w:sz w:val="5"/>
          <w:lang w:val="cs-CZ"/>
        </w:rPr>
      </w:pPr>
    </w:p>
    <w:p w14:paraId="0CF52484" w14:textId="77777777" w:rsidR="0000025D" w:rsidRPr="0073136F" w:rsidRDefault="00A9192D" w:rsidP="008B26F8">
      <w:pPr>
        <w:pStyle w:val="Tekstpodstawowy"/>
        <w:spacing w:before="0"/>
        <w:jc w:val="center"/>
        <w:rPr>
          <w:rFonts w:ascii="Times New Roman"/>
          <w:sz w:val="20"/>
          <w:lang w:val="cs-CZ"/>
        </w:rPr>
      </w:pPr>
      <w:r w:rsidRPr="0073136F">
        <w:rPr>
          <w:rFonts w:ascii="Times New Roman"/>
          <w:noProof/>
          <w:sz w:val="20"/>
          <w:lang w:val="cs-CZ" w:eastAsia="cs-CZ"/>
        </w:rPr>
        <w:drawing>
          <wp:inline distT="0" distB="0" distL="0" distR="0" wp14:anchorId="3F3450CB" wp14:editId="550C61DF">
            <wp:extent cx="1889155" cy="466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89155" cy="466725"/>
                    </a:xfrm>
                    <a:prstGeom prst="rect">
                      <a:avLst/>
                    </a:prstGeom>
                  </pic:spPr>
                </pic:pic>
              </a:graphicData>
            </a:graphic>
          </wp:inline>
        </w:drawing>
      </w:r>
    </w:p>
    <w:p w14:paraId="33869B0B" w14:textId="77777777" w:rsidR="0000025D" w:rsidRPr="0073136F" w:rsidRDefault="0000025D">
      <w:pPr>
        <w:pStyle w:val="Tekstpodstawowy"/>
        <w:spacing w:before="0"/>
        <w:ind w:left="0" w:firstLine="0"/>
        <w:jc w:val="left"/>
        <w:rPr>
          <w:rFonts w:ascii="Times New Roman"/>
          <w:sz w:val="16"/>
          <w:lang w:val="cs-CZ"/>
        </w:rPr>
      </w:pPr>
    </w:p>
    <w:p w14:paraId="4DF6CC96" w14:textId="77777777" w:rsidR="0000025D" w:rsidRPr="0073136F" w:rsidRDefault="0000025D">
      <w:pPr>
        <w:pStyle w:val="Tekstpodstawowy"/>
        <w:spacing w:before="5"/>
        <w:ind w:left="0" w:firstLine="0"/>
        <w:jc w:val="left"/>
        <w:rPr>
          <w:rFonts w:ascii="Times New Roman"/>
          <w:sz w:val="13"/>
          <w:lang w:val="cs-CZ"/>
        </w:rPr>
      </w:pPr>
    </w:p>
    <w:p w14:paraId="56BA882D" w14:textId="46D671CF" w:rsidR="0000025D" w:rsidRPr="0073136F" w:rsidRDefault="00675D21" w:rsidP="007371D0">
      <w:pPr>
        <w:ind w:left="100" w:right="1"/>
        <w:jc w:val="both"/>
        <w:rPr>
          <w:sz w:val="14"/>
          <w:lang w:val="cs-CZ"/>
        </w:rPr>
      </w:pPr>
      <w:r>
        <w:rPr>
          <w:b/>
          <w:sz w:val="14"/>
          <w:lang w:val="cs-CZ"/>
        </w:rPr>
        <w:t xml:space="preserve">Všeobecné obchodní podmínky </w:t>
      </w:r>
      <w:r w:rsidRPr="00675D21">
        <w:rPr>
          <w:b/>
          <w:sz w:val="14"/>
          <w:lang w:val="cs-CZ"/>
        </w:rPr>
        <w:t xml:space="preserve">Coface Czech Services spol. s r.o. </w:t>
      </w:r>
      <w:r w:rsidR="00A9192D" w:rsidRPr="0073136F">
        <w:rPr>
          <w:sz w:val="14"/>
          <w:lang w:val="cs-CZ"/>
        </w:rPr>
        <w:t>(dále v tomto textu a v textu Smlouvy jen „Cof</w:t>
      </w:r>
      <w:r w:rsidR="00944E26">
        <w:rPr>
          <w:sz w:val="14"/>
          <w:lang w:val="cs-CZ"/>
        </w:rPr>
        <w:t xml:space="preserve">ace Czech“), se sídlem </w:t>
      </w:r>
      <w:r w:rsidR="007371D0" w:rsidRPr="007371D0">
        <w:rPr>
          <w:sz w:val="14"/>
          <w:lang w:val="cs-CZ"/>
        </w:rPr>
        <w:t>Štětkova 1638/18, Nusle, 140 00 Praha 4</w:t>
      </w:r>
      <w:r w:rsidR="00A9192D" w:rsidRPr="0073136F">
        <w:rPr>
          <w:sz w:val="14"/>
          <w:lang w:val="cs-CZ"/>
        </w:rPr>
        <w:t xml:space="preserve">, </w:t>
      </w:r>
      <w:r w:rsidRPr="00675D21">
        <w:rPr>
          <w:sz w:val="14"/>
          <w:lang w:val="cs-CZ"/>
        </w:rPr>
        <w:t>IČ 27951561, DIČ CZ27951561</w:t>
      </w:r>
      <w:r>
        <w:rPr>
          <w:sz w:val="14"/>
          <w:lang w:val="cs-CZ"/>
        </w:rPr>
        <w:t xml:space="preserve">, </w:t>
      </w:r>
      <w:r w:rsidRPr="00675D21">
        <w:rPr>
          <w:sz w:val="14"/>
          <w:lang w:val="cs-CZ"/>
        </w:rPr>
        <w:t>Spisová značka: C 128894 vedená u Městského soudu v Praze,</w:t>
      </w:r>
      <w:r>
        <w:rPr>
          <w:sz w:val="14"/>
          <w:lang w:val="cs-CZ"/>
        </w:rPr>
        <w:t xml:space="preserve"> </w:t>
      </w:r>
      <w:r w:rsidR="00A9192D" w:rsidRPr="0073136F">
        <w:rPr>
          <w:b/>
          <w:sz w:val="14"/>
          <w:lang w:val="cs-CZ"/>
        </w:rPr>
        <w:t>pro za</w:t>
      </w:r>
      <w:r w:rsidR="008B26F8">
        <w:rPr>
          <w:b/>
          <w:sz w:val="14"/>
          <w:lang w:val="cs-CZ"/>
        </w:rPr>
        <w:t xml:space="preserve">řízení záležitostí spojených s uspokojením pohledávek Klienta </w:t>
      </w:r>
      <w:r w:rsidR="008B26F8">
        <w:rPr>
          <w:sz w:val="14"/>
          <w:lang w:val="cs-CZ"/>
        </w:rPr>
        <w:t xml:space="preserve">(dále </w:t>
      </w:r>
      <w:r w:rsidR="00A9192D" w:rsidRPr="0073136F">
        <w:rPr>
          <w:sz w:val="14"/>
          <w:lang w:val="cs-CZ"/>
        </w:rPr>
        <w:t>v tomto textu a v textu Smlouvy jen „</w:t>
      </w:r>
      <w:r>
        <w:rPr>
          <w:sz w:val="14"/>
          <w:lang w:val="cs-CZ"/>
        </w:rPr>
        <w:t>VOP</w:t>
      </w:r>
      <w:r w:rsidR="00A9192D" w:rsidRPr="0073136F">
        <w:rPr>
          <w:sz w:val="14"/>
          <w:lang w:val="cs-CZ"/>
        </w:rPr>
        <w:t>“):</w:t>
      </w:r>
    </w:p>
    <w:p w14:paraId="4D070FB2" w14:textId="77777777" w:rsidR="0000025D" w:rsidRPr="0073136F" w:rsidRDefault="00A9192D">
      <w:pPr>
        <w:pStyle w:val="Nagwek1"/>
        <w:numPr>
          <w:ilvl w:val="0"/>
          <w:numId w:val="2"/>
        </w:numPr>
        <w:tabs>
          <w:tab w:val="left" w:pos="641"/>
          <w:tab w:val="left" w:pos="642"/>
        </w:tabs>
        <w:spacing w:before="41"/>
        <w:ind w:firstLine="0"/>
        <w:rPr>
          <w:lang w:val="cs-CZ"/>
        </w:rPr>
      </w:pPr>
      <w:r w:rsidRPr="0073136F">
        <w:rPr>
          <w:color w:val="00396B"/>
          <w:lang w:val="cs-CZ"/>
        </w:rPr>
        <w:t>Vymezení</w:t>
      </w:r>
      <w:r w:rsidRPr="0073136F">
        <w:rPr>
          <w:color w:val="00396B"/>
          <w:spacing w:val="-9"/>
          <w:lang w:val="cs-CZ"/>
        </w:rPr>
        <w:t xml:space="preserve"> </w:t>
      </w:r>
      <w:r w:rsidRPr="0073136F">
        <w:rPr>
          <w:color w:val="00396B"/>
          <w:lang w:val="cs-CZ"/>
        </w:rPr>
        <w:t>pojmů</w:t>
      </w:r>
    </w:p>
    <w:p w14:paraId="22F20857" w14:textId="620E2A15" w:rsidR="0000025D" w:rsidRPr="0073136F" w:rsidRDefault="00A9192D">
      <w:pPr>
        <w:pStyle w:val="Tekstpodstawowy"/>
        <w:spacing w:before="19"/>
        <w:ind w:left="100" w:right="2" w:firstLine="0"/>
        <w:rPr>
          <w:lang w:val="cs-CZ"/>
        </w:rPr>
      </w:pPr>
      <w:r w:rsidRPr="0073136F">
        <w:rPr>
          <w:lang w:val="cs-CZ"/>
        </w:rPr>
        <w:t xml:space="preserve">V těchto </w:t>
      </w:r>
      <w:r w:rsidR="003D47C1">
        <w:rPr>
          <w:lang w:val="cs-CZ"/>
        </w:rPr>
        <w:t>VOP</w:t>
      </w:r>
      <w:r w:rsidRPr="0073136F">
        <w:rPr>
          <w:lang w:val="cs-CZ"/>
        </w:rPr>
        <w:t xml:space="preserve"> (jakož i ve Smlouvě a jejích případných přílohách) se rozumí (nevyplývá-li z kontextu něco jiného):</w:t>
      </w:r>
    </w:p>
    <w:p w14:paraId="3A36C1EE" w14:textId="77777777" w:rsidR="0000025D" w:rsidRPr="0073136F" w:rsidRDefault="00A9192D">
      <w:pPr>
        <w:pStyle w:val="Akapitzlist"/>
        <w:numPr>
          <w:ilvl w:val="1"/>
          <w:numId w:val="1"/>
        </w:numPr>
        <w:tabs>
          <w:tab w:val="left" w:pos="582"/>
        </w:tabs>
        <w:spacing w:before="19"/>
        <w:ind w:right="3"/>
        <w:rPr>
          <w:sz w:val="14"/>
          <w:lang w:val="cs-CZ"/>
        </w:rPr>
      </w:pPr>
      <w:r w:rsidRPr="0073136F">
        <w:rPr>
          <w:sz w:val="14"/>
          <w:lang w:val="cs-CZ"/>
        </w:rPr>
        <w:t>„Coface“ Coface Czech a / nebo jakékoli jiné s Coface Czech spojené právnické osoby, kterými jsou osoby,</w:t>
      </w:r>
      <w:r w:rsidRPr="0073136F">
        <w:rPr>
          <w:spacing w:val="-28"/>
          <w:sz w:val="14"/>
          <w:lang w:val="cs-CZ"/>
        </w:rPr>
        <w:t xml:space="preserve"> </w:t>
      </w:r>
      <w:r w:rsidRPr="0073136F">
        <w:rPr>
          <w:sz w:val="14"/>
          <w:lang w:val="cs-CZ"/>
        </w:rPr>
        <w:t>jež</w:t>
      </w:r>
    </w:p>
    <w:p w14:paraId="61BA9682" w14:textId="77777777" w:rsidR="0000025D" w:rsidRPr="0073136F" w:rsidRDefault="00A9192D">
      <w:pPr>
        <w:pStyle w:val="Akapitzlist"/>
        <w:numPr>
          <w:ilvl w:val="2"/>
          <w:numId w:val="1"/>
        </w:numPr>
        <w:tabs>
          <w:tab w:val="left" w:pos="1122"/>
        </w:tabs>
        <w:spacing w:before="22"/>
        <w:rPr>
          <w:sz w:val="14"/>
          <w:lang w:val="cs-CZ"/>
        </w:rPr>
      </w:pPr>
      <w:r w:rsidRPr="0073136F">
        <w:rPr>
          <w:sz w:val="14"/>
          <w:lang w:val="cs-CZ"/>
        </w:rPr>
        <w:t>Coface Czech</w:t>
      </w:r>
      <w:r w:rsidRPr="0073136F">
        <w:rPr>
          <w:spacing w:val="-16"/>
          <w:sz w:val="14"/>
          <w:lang w:val="cs-CZ"/>
        </w:rPr>
        <w:t xml:space="preserve"> </w:t>
      </w:r>
      <w:r w:rsidRPr="0073136F">
        <w:rPr>
          <w:sz w:val="14"/>
          <w:lang w:val="cs-CZ"/>
        </w:rPr>
        <w:t>kontrolují,</w:t>
      </w:r>
    </w:p>
    <w:p w14:paraId="4E2CEB44" w14:textId="77777777" w:rsidR="0000025D" w:rsidRPr="0073136F" w:rsidRDefault="00A9192D">
      <w:pPr>
        <w:pStyle w:val="Akapitzlist"/>
        <w:numPr>
          <w:ilvl w:val="2"/>
          <w:numId w:val="1"/>
        </w:numPr>
        <w:tabs>
          <w:tab w:val="left" w:pos="1122"/>
        </w:tabs>
        <w:spacing w:before="21" w:line="237" w:lineRule="auto"/>
        <w:ind w:right="6"/>
        <w:rPr>
          <w:sz w:val="14"/>
          <w:lang w:val="cs-CZ"/>
        </w:rPr>
      </w:pPr>
      <w:r w:rsidRPr="0073136F">
        <w:rPr>
          <w:sz w:val="14"/>
          <w:lang w:val="cs-CZ"/>
        </w:rPr>
        <w:t>jsou kontrolovány stejnou osobou, která kontroluje Coface Czech,</w:t>
      </w:r>
      <w:r w:rsidRPr="0073136F">
        <w:rPr>
          <w:spacing w:val="-12"/>
          <w:sz w:val="14"/>
          <w:lang w:val="cs-CZ"/>
        </w:rPr>
        <w:t xml:space="preserve"> </w:t>
      </w:r>
      <w:r w:rsidRPr="0073136F">
        <w:rPr>
          <w:sz w:val="14"/>
          <w:lang w:val="cs-CZ"/>
        </w:rPr>
        <w:t>nebo</w:t>
      </w:r>
    </w:p>
    <w:p w14:paraId="2C4A7B14" w14:textId="77777777" w:rsidR="0000025D" w:rsidRPr="0073136F" w:rsidRDefault="00A9192D">
      <w:pPr>
        <w:pStyle w:val="Akapitzlist"/>
        <w:numPr>
          <w:ilvl w:val="2"/>
          <w:numId w:val="1"/>
        </w:numPr>
        <w:tabs>
          <w:tab w:val="left" w:pos="1122"/>
        </w:tabs>
        <w:spacing w:line="237" w:lineRule="auto"/>
        <w:ind w:right="1"/>
        <w:rPr>
          <w:sz w:val="14"/>
          <w:lang w:val="cs-CZ"/>
        </w:rPr>
      </w:pPr>
      <w:r w:rsidRPr="0073136F">
        <w:rPr>
          <w:sz w:val="14"/>
          <w:lang w:val="cs-CZ"/>
        </w:rPr>
        <w:t>jsou společně kontrolovány dvěma či více osobami uvedenými sub 1.1.1 a 1.1.2</w:t>
      </w:r>
      <w:r w:rsidRPr="0073136F">
        <w:rPr>
          <w:spacing w:val="-13"/>
          <w:sz w:val="14"/>
          <w:lang w:val="cs-CZ"/>
        </w:rPr>
        <w:t xml:space="preserve"> </w:t>
      </w:r>
      <w:r w:rsidRPr="0073136F">
        <w:rPr>
          <w:sz w:val="14"/>
          <w:lang w:val="cs-CZ"/>
        </w:rPr>
        <w:t>výše.</w:t>
      </w:r>
    </w:p>
    <w:p w14:paraId="40606CE8" w14:textId="77777777" w:rsidR="0000025D" w:rsidRPr="0073136F" w:rsidRDefault="00A9192D">
      <w:pPr>
        <w:pStyle w:val="Tekstpodstawowy"/>
        <w:ind w:right="2" w:firstLine="0"/>
        <w:rPr>
          <w:lang w:val="cs-CZ"/>
        </w:rPr>
      </w:pPr>
      <w:r w:rsidRPr="0073136F">
        <w:rPr>
          <w:lang w:val="cs-CZ"/>
        </w:rPr>
        <w:t>Kontrolou se přitom rozumí držení obchodního podílu nebo podílu na základním kapitálu vyššího než 50% nebo právo jmenovat nebo odvolávat většinu členů statutárního orgánu, dozorčí rady, ředitelů nebo managementu právnické osoby, jakož i možnost jinak vykonávat rozhodující vliv na řízení právnické osoby;</w:t>
      </w:r>
    </w:p>
    <w:p w14:paraId="4E3ED46D" w14:textId="02B51AAA" w:rsidR="0000025D" w:rsidRPr="0073136F" w:rsidRDefault="00A9192D">
      <w:pPr>
        <w:pStyle w:val="Akapitzlist"/>
        <w:numPr>
          <w:ilvl w:val="1"/>
          <w:numId w:val="1"/>
        </w:numPr>
        <w:tabs>
          <w:tab w:val="left" w:pos="582"/>
        </w:tabs>
        <w:spacing w:line="237" w:lineRule="auto"/>
        <w:rPr>
          <w:sz w:val="14"/>
          <w:lang w:val="cs-CZ"/>
        </w:rPr>
      </w:pPr>
      <w:r w:rsidRPr="0073136F">
        <w:rPr>
          <w:sz w:val="14"/>
          <w:lang w:val="cs-CZ"/>
        </w:rPr>
        <w:t>„Smlouvou“ smlouva mezi Coface Czech a Klientem o za</w:t>
      </w:r>
      <w:r w:rsidR="00C401A6">
        <w:rPr>
          <w:sz w:val="14"/>
          <w:lang w:val="cs-CZ"/>
        </w:rPr>
        <w:t xml:space="preserve">řízení záležitostí spojených s </w:t>
      </w:r>
      <w:r w:rsidRPr="0073136F">
        <w:rPr>
          <w:sz w:val="14"/>
          <w:lang w:val="cs-CZ"/>
        </w:rPr>
        <w:t>uspokojením pohledávek</w:t>
      </w:r>
      <w:r w:rsidRPr="0073136F">
        <w:rPr>
          <w:spacing w:val="-33"/>
          <w:sz w:val="14"/>
          <w:lang w:val="cs-CZ"/>
        </w:rPr>
        <w:t xml:space="preserve"> </w:t>
      </w:r>
      <w:r w:rsidRPr="0073136F">
        <w:rPr>
          <w:sz w:val="14"/>
          <w:lang w:val="cs-CZ"/>
        </w:rPr>
        <w:t>Klienta;</w:t>
      </w:r>
    </w:p>
    <w:p w14:paraId="5B6832C3" w14:textId="77777777" w:rsidR="0000025D" w:rsidRPr="0073136F" w:rsidRDefault="00A9192D">
      <w:pPr>
        <w:pStyle w:val="Akapitzlist"/>
        <w:numPr>
          <w:ilvl w:val="1"/>
          <w:numId w:val="1"/>
        </w:numPr>
        <w:tabs>
          <w:tab w:val="left" w:pos="582"/>
        </w:tabs>
        <w:spacing w:line="237" w:lineRule="auto"/>
        <w:rPr>
          <w:sz w:val="14"/>
          <w:lang w:val="cs-CZ"/>
        </w:rPr>
      </w:pPr>
      <w:r w:rsidRPr="0073136F">
        <w:rPr>
          <w:sz w:val="14"/>
          <w:lang w:val="cs-CZ"/>
        </w:rPr>
        <w:t>„účelem Smlouvy“ dosažení zajištění a / nebo uspokojení pohledávky Klienta inkasní činností podle</w:t>
      </w:r>
      <w:r w:rsidRPr="0073136F">
        <w:rPr>
          <w:spacing w:val="-30"/>
          <w:sz w:val="14"/>
          <w:lang w:val="cs-CZ"/>
        </w:rPr>
        <w:t xml:space="preserve"> </w:t>
      </w:r>
      <w:r w:rsidRPr="0073136F">
        <w:rPr>
          <w:sz w:val="14"/>
          <w:lang w:val="cs-CZ"/>
        </w:rPr>
        <w:t>Smlouvy;</w:t>
      </w:r>
    </w:p>
    <w:p w14:paraId="38B4E6CC" w14:textId="4575E8AE" w:rsidR="0000025D" w:rsidRPr="00A94303" w:rsidRDefault="00A9192D" w:rsidP="00A94303">
      <w:pPr>
        <w:pStyle w:val="Akapitzlist"/>
        <w:numPr>
          <w:ilvl w:val="1"/>
          <w:numId w:val="1"/>
        </w:numPr>
        <w:tabs>
          <w:tab w:val="left" w:pos="582"/>
        </w:tabs>
        <w:spacing w:line="237" w:lineRule="auto"/>
        <w:rPr>
          <w:sz w:val="14"/>
          <w:szCs w:val="14"/>
          <w:lang w:val="cs-CZ"/>
        </w:rPr>
      </w:pPr>
      <w:r w:rsidRPr="0073136F">
        <w:rPr>
          <w:sz w:val="14"/>
          <w:lang w:val="cs-CZ"/>
        </w:rPr>
        <w:t>„dlužníkem“ fyzická nebo právnická osoba uvedená Klientem jako osoba, jež má vůči Klientovi záva</w:t>
      </w:r>
      <w:r w:rsidR="00C401A6">
        <w:rPr>
          <w:sz w:val="14"/>
          <w:lang w:val="cs-CZ"/>
        </w:rPr>
        <w:t xml:space="preserve">zek zaplatit určitou peněžitou sumu; dlužníkem je i </w:t>
      </w:r>
      <w:r w:rsidR="00A94303">
        <w:rPr>
          <w:sz w:val="14"/>
          <w:lang w:val="cs-CZ"/>
        </w:rPr>
        <w:t xml:space="preserve">jakákoli další </w:t>
      </w:r>
      <w:r w:rsidRPr="0073136F">
        <w:rPr>
          <w:sz w:val="14"/>
          <w:lang w:val="cs-CZ"/>
        </w:rPr>
        <w:t>osoba,</w:t>
      </w:r>
      <w:r w:rsidR="00C401A6">
        <w:rPr>
          <w:spacing w:val="30"/>
          <w:sz w:val="14"/>
          <w:lang w:val="cs-CZ"/>
        </w:rPr>
        <w:t xml:space="preserve"> </w:t>
      </w:r>
      <w:r w:rsidRPr="0073136F">
        <w:rPr>
          <w:sz w:val="14"/>
          <w:lang w:val="cs-CZ"/>
        </w:rPr>
        <w:t>která</w:t>
      </w:r>
      <w:r w:rsidR="00A94303">
        <w:rPr>
          <w:sz w:val="14"/>
          <w:lang w:val="cs-CZ"/>
        </w:rPr>
        <w:t xml:space="preserve"> </w:t>
      </w:r>
      <w:r w:rsidRPr="00A94303">
        <w:rPr>
          <w:sz w:val="14"/>
          <w:szCs w:val="14"/>
          <w:lang w:val="cs-CZ"/>
        </w:rPr>
        <w:t xml:space="preserve">bez ohledu na právní </w:t>
      </w:r>
      <w:r w:rsidR="007C61B2" w:rsidRPr="00A94303">
        <w:rPr>
          <w:sz w:val="14"/>
          <w:szCs w:val="14"/>
          <w:lang w:val="cs-CZ"/>
        </w:rPr>
        <w:t>důvod – zcela</w:t>
      </w:r>
      <w:r w:rsidRPr="00A94303">
        <w:rPr>
          <w:sz w:val="14"/>
          <w:szCs w:val="14"/>
          <w:lang w:val="cs-CZ"/>
        </w:rPr>
        <w:t xml:space="preserve"> i jen zčásti na místo dlužníka nastoupila či nastoupí;</w:t>
      </w:r>
    </w:p>
    <w:p w14:paraId="0F06EAF7" w14:textId="77777777" w:rsidR="0000025D" w:rsidRPr="0073136F" w:rsidRDefault="00A9192D">
      <w:pPr>
        <w:pStyle w:val="Akapitzlist"/>
        <w:numPr>
          <w:ilvl w:val="1"/>
          <w:numId w:val="1"/>
        </w:numPr>
        <w:tabs>
          <w:tab w:val="left" w:pos="582"/>
        </w:tabs>
        <w:spacing w:line="237" w:lineRule="auto"/>
        <w:ind w:right="1"/>
        <w:rPr>
          <w:sz w:val="14"/>
          <w:lang w:val="cs-CZ"/>
        </w:rPr>
      </w:pPr>
      <w:r w:rsidRPr="0073136F">
        <w:rPr>
          <w:sz w:val="14"/>
          <w:lang w:val="cs-CZ"/>
        </w:rPr>
        <w:t>„smluvní stranou“ Klient nebo Coface Czech (a „smluvními stranami“ Klient a Coface</w:t>
      </w:r>
      <w:r w:rsidRPr="0073136F">
        <w:rPr>
          <w:spacing w:val="-19"/>
          <w:sz w:val="14"/>
          <w:lang w:val="cs-CZ"/>
        </w:rPr>
        <w:t xml:space="preserve"> </w:t>
      </w:r>
      <w:r w:rsidRPr="0073136F">
        <w:rPr>
          <w:sz w:val="14"/>
          <w:lang w:val="cs-CZ"/>
        </w:rPr>
        <w:t>Czech);</w:t>
      </w:r>
    </w:p>
    <w:p w14:paraId="1770CAD1" w14:textId="13B82768" w:rsidR="0000025D" w:rsidRPr="0073136F" w:rsidRDefault="00A9192D">
      <w:pPr>
        <w:pStyle w:val="Akapitzlist"/>
        <w:numPr>
          <w:ilvl w:val="1"/>
          <w:numId w:val="1"/>
        </w:numPr>
        <w:tabs>
          <w:tab w:val="left" w:pos="582"/>
        </w:tabs>
        <w:spacing w:before="21"/>
        <w:rPr>
          <w:sz w:val="14"/>
          <w:lang w:val="cs-CZ"/>
        </w:rPr>
      </w:pPr>
      <w:r w:rsidRPr="0073136F">
        <w:rPr>
          <w:sz w:val="14"/>
          <w:lang w:val="cs-CZ"/>
        </w:rPr>
        <w:t xml:space="preserve">„pohledávkou“ suma uváděná Klientem v penězích, zpravidla reprezentovaná jednou či více fakturami, jejíž zaplacení požaduje po dlužníkovi, a to bez ohledu na právní důvod vzniku závazku dlužníka; součástí pohledávky je přitom její příslušenství (úrok, úrok z prodlení či jim podobná sankce příslušející </w:t>
      </w:r>
      <w:r w:rsidR="00C401A6">
        <w:rPr>
          <w:sz w:val="14"/>
          <w:lang w:val="cs-CZ"/>
        </w:rPr>
        <w:t xml:space="preserve">k pohledávce), jakož i jiné finanční nároky, jež </w:t>
      </w:r>
      <w:r w:rsidRPr="0073136F">
        <w:rPr>
          <w:sz w:val="14"/>
          <w:lang w:val="cs-CZ"/>
        </w:rPr>
        <w:t>z prodlení dlužníka s uspokojením pohledávky mohou vzniknout (např. nárok na zaplacení smluvní</w:t>
      </w:r>
      <w:r w:rsidRPr="0073136F">
        <w:rPr>
          <w:spacing w:val="-29"/>
          <w:sz w:val="14"/>
          <w:lang w:val="cs-CZ"/>
        </w:rPr>
        <w:t xml:space="preserve"> </w:t>
      </w:r>
      <w:r w:rsidRPr="0073136F">
        <w:rPr>
          <w:sz w:val="14"/>
          <w:lang w:val="cs-CZ"/>
        </w:rPr>
        <w:t>pokuty);</w:t>
      </w:r>
    </w:p>
    <w:p w14:paraId="5D217988" w14:textId="15AA3BCF" w:rsidR="0000025D" w:rsidRPr="0073136F" w:rsidRDefault="00A9192D">
      <w:pPr>
        <w:pStyle w:val="Akapitzlist"/>
        <w:numPr>
          <w:ilvl w:val="1"/>
          <w:numId w:val="1"/>
        </w:numPr>
        <w:tabs>
          <w:tab w:val="left" w:pos="582"/>
        </w:tabs>
        <w:spacing w:before="21"/>
        <w:ind w:right="1"/>
        <w:rPr>
          <w:sz w:val="14"/>
          <w:lang w:val="cs-CZ"/>
        </w:rPr>
      </w:pPr>
      <w:r w:rsidRPr="0073136F">
        <w:rPr>
          <w:sz w:val="14"/>
          <w:lang w:val="cs-CZ"/>
        </w:rPr>
        <w:t>„zahrani</w:t>
      </w:r>
      <w:r w:rsidR="00C401A6">
        <w:rPr>
          <w:sz w:val="14"/>
          <w:lang w:val="cs-CZ"/>
        </w:rPr>
        <w:t xml:space="preserve">ční pohledávkou“ pohledávka se </w:t>
      </w:r>
      <w:r w:rsidRPr="0073136F">
        <w:rPr>
          <w:sz w:val="14"/>
          <w:lang w:val="cs-CZ"/>
        </w:rPr>
        <w:t>zahraničním prvkem, tedy pohledávka z právního vztahu podléhajícího jinému než českému právu, nebo pohledávka, jejíž splnění nemůže být vymáháno u českých soudů nebo rozhodce či rozhodčího soudu s bydlištěm či sídlem v České republice, vždy však pohledávka v případě, že sídlo, místo podnikání nebo bydliště dlužníka se nachází mimo území České republiky;</w:t>
      </w:r>
    </w:p>
    <w:p w14:paraId="68404CCA" w14:textId="77777777" w:rsidR="0000025D" w:rsidRPr="0073136F" w:rsidRDefault="00A9192D">
      <w:pPr>
        <w:pStyle w:val="Akapitzlist"/>
        <w:numPr>
          <w:ilvl w:val="1"/>
          <w:numId w:val="1"/>
        </w:numPr>
        <w:tabs>
          <w:tab w:val="left" w:pos="582"/>
        </w:tabs>
        <w:spacing w:line="237" w:lineRule="auto"/>
        <w:ind w:right="2"/>
        <w:rPr>
          <w:sz w:val="14"/>
          <w:lang w:val="cs-CZ"/>
        </w:rPr>
      </w:pPr>
      <w:r w:rsidRPr="0073136F">
        <w:rPr>
          <w:sz w:val="14"/>
          <w:lang w:val="cs-CZ"/>
        </w:rPr>
        <w:t>„tuzemskou pohledávkou“ pohledávka jiná než zahraniční pohledávka;</w:t>
      </w:r>
    </w:p>
    <w:p w14:paraId="05CEE14A" w14:textId="77777777" w:rsidR="0000025D" w:rsidRPr="0073136F" w:rsidRDefault="00A9192D">
      <w:pPr>
        <w:pStyle w:val="Akapitzlist"/>
        <w:numPr>
          <w:ilvl w:val="1"/>
          <w:numId w:val="1"/>
        </w:numPr>
        <w:tabs>
          <w:tab w:val="left" w:pos="582"/>
        </w:tabs>
        <w:spacing w:line="237" w:lineRule="auto"/>
        <w:rPr>
          <w:sz w:val="14"/>
          <w:lang w:val="cs-CZ"/>
        </w:rPr>
      </w:pPr>
      <w:r w:rsidRPr="0073136F">
        <w:rPr>
          <w:sz w:val="14"/>
          <w:lang w:val="cs-CZ"/>
        </w:rPr>
        <w:t>„předmětem inkasní činnosti“ součet výše pohledávek vůči dlužníkovi předaných Klientem Coface Czech během jednoho pracovního</w:t>
      </w:r>
      <w:r w:rsidRPr="0073136F">
        <w:rPr>
          <w:spacing w:val="-11"/>
          <w:sz w:val="14"/>
          <w:lang w:val="cs-CZ"/>
        </w:rPr>
        <w:t xml:space="preserve"> </w:t>
      </w:r>
      <w:r w:rsidRPr="0073136F">
        <w:rPr>
          <w:sz w:val="14"/>
          <w:lang w:val="cs-CZ"/>
        </w:rPr>
        <w:t>dne;</w:t>
      </w:r>
    </w:p>
    <w:p w14:paraId="6CA589AE" w14:textId="5AB5B79C" w:rsidR="0000025D" w:rsidRPr="0073136F" w:rsidRDefault="00A9192D">
      <w:pPr>
        <w:pStyle w:val="Akapitzlist"/>
        <w:numPr>
          <w:ilvl w:val="1"/>
          <w:numId w:val="1"/>
        </w:numPr>
        <w:tabs>
          <w:tab w:val="left" w:pos="582"/>
        </w:tabs>
        <w:spacing w:before="21"/>
        <w:rPr>
          <w:sz w:val="14"/>
          <w:lang w:val="cs-CZ"/>
        </w:rPr>
      </w:pPr>
      <w:r w:rsidRPr="0073136F">
        <w:rPr>
          <w:sz w:val="14"/>
          <w:lang w:val="cs-CZ"/>
        </w:rPr>
        <w:t>„doklady a informacemi“ veškeré</w:t>
      </w:r>
      <w:r w:rsidR="00C401A6">
        <w:rPr>
          <w:sz w:val="14"/>
          <w:lang w:val="cs-CZ"/>
        </w:rPr>
        <w:t xml:space="preserve"> doklady k pohledávce (smlouvy / dohody mezi Klientem a dlužníkem spolu</w:t>
      </w:r>
      <w:r w:rsidRPr="0073136F">
        <w:rPr>
          <w:sz w:val="14"/>
          <w:lang w:val="cs-CZ"/>
        </w:rPr>
        <w:t xml:space="preserve"> se všeobecnými podmínkami, objednávky / jejich potvrzení, faktury, dodací listy, upomínky a další korespondence vztahující se k pohledávce, dokumenty k prostředkům zajišťujícím </w:t>
      </w:r>
      <w:r w:rsidR="007C61B2" w:rsidRPr="0073136F">
        <w:rPr>
          <w:sz w:val="14"/>
          <w:lang w:val="cs-CZ"/>
        </w:rPr>
        <w:t>pohledávku</w:t>
      </w:r>
      <w:r w:rsidRPr="0073136F">
        <w:rPr>
          <w:spacing w:val="-20"/>
          <w:sz w:val="14"/>
          <w:lang w:val="cs-CZ"/>
        </w:rPr>
        <w:t xml:space="preserve"> </w:t>
      </w:r>
      <w:r w:rsidRPr="0073136F">
        <w:rPr>
          <w:sz w:val="14"/>
          <w:lang w:val="cs-CZ"/>
        </w:rPr>
        <w:t>apod.);</w:t>
      </w:r>
    </w:p>
    <w:p w14:paraId="259FC216" w14:textId="77777777" w:rsidR="0000025D" w:rsidRPr="0073136F" w:rsidRDefault="00A9192D">
      <w:pPr>
        <w:pStyle w:val="Akapitzlist"/>
        <w:numPr>
          <w:ilvl w:val="1"/>
          <w:numId w:val="1"/>
        </w:numPr>
        <w:tabs>
          <w:tab w:val="left" w:pos="582"/>
        </w:tabs>
        <w:spacing w:line="237" w:lineRule="auto"/>
        <w:ind w:right="3"/>
        <w:rPr>
          <w:sz w:val="14"/>
          <w:lang w:val="cs-CZ"/>
        </w:rPr>
      </w:pPr>
      <w:r w:rsidRPr="0073136F">
        <w:rPr>
          <w:sz w:val="14"/>
          <w:lang w:val="cs-CZ"/>
        </w:rPr>
        <w:t>„inkasní   činností“    činnost    Coface    Czech    směřující    k uspokojení pohledávky</w:t>
      </w:r>
      <w:r w:rsidRPr="0073136F">
        <w:rPr>
          <w:spacing w:val="-23"/>
          <w:sz w:val="14"/>
          <w:lang w:val="cs-CZ"/>
        </w:rPr>
        <w:t xml:space="preserve"> </w:t>
      </w:r>
      <w:r w:rsidRPr="0073136F">
        <w:rPr>
          <w:sz w:val="14"/>
          <w:lang w:val="cs-CZ"/>
        </w:rPr>
        <w:t>Klienta;</w:t>
      </w:r>
    </w:p>
    <w:p w14:paraId="7CE592CA" w14:textId="77777777" w:rsidR="0000025D" w:rsidRPr="0073136F" w:rsidRDefault="00A9192D">
      <w:pPr>
        <w:pStyle w:val="Akapitzlist"/>
        <w:numPr>
          <w:ilvl w:val="1"/>
          <w:numId w:val="1"/>
        </w:numPr>
        <w:tabs>
          <w:tab w:val="left" w:pos="582"/>
        </w:tabs>
        <w:spacing w:line="237" w:lineRule="auto"/>
        <w:ind w:right="3"/>
        <w:rPr>
          <w:sz w:val="14"/>
          <w:lang w:val="cs-CZ"/>
        </w:rPr>
      </w:pPr>
      <w:r w:rsidRPr="0073136F">
        <w:rPr>
          <w:sz w:val="14"/>
          <w:lang w:val="cs-CZ"/>
        </w:rPr>
        <w:t>„zajištěním pohledávky“ všechny prostředky snižující riziko neuspokojení pohledávky Klienta nebo zlepšující jeho právní postavení ve vztahu k</w:t>
      </w:r>
      <w:r w:rsidRPr="0073136F">
        <w:rPr>
          <w:spacing w:val="-21"/>
          <w:sz w:val="14"/>
          <w:lang w:val="cs-CZ"/>
        </w:rPr>
        <w:t xml:space="preserve"> </w:t>
      </w:r>
      <w:r w:rsidRPr="0073136F">
        <w:rPr>
          <w:sz w:val="14"/>
          <w:lang w:val="cs-CZ"/>
        </w:rPr>
        <w:t>dlužníkovi;</w:t>
      </w:r>
    </w:p>
    <w:p w14:paraId="0E3D568F" w14:textId="6676F9F4" w:rsidR="0000025D" w:rsidRPr="0073136F" w:rsidRDefault="00C401A6" w:rsidP="008B26F8">
      <w:pPr>
        <w:pStyle w:val="Akapitzlist"/>
        <w:numPr>
          <w:ilvl w:val="1"/>
          <w:numId w:val="1"/>
        </w:numPr>
        <w:tabs>
          <w:tab w:val="left" w:pos="582"/>
        </w:tabs>
        <w:spacing w:before="21" w:after="240"/>
        <w:ind w:left="584" w:hanging="482"/>
        <w:rPr>
          <w:sz w:val="14"/>
          <w:lang w:val="cs-CZ"/>
        </w:rPr>
      </w:pPr>
      <w:r>
        <w:rPr>
          <w:sz w:val="14"/>
          <w:lang w:val="cs-CZ"/>
        </w:rPr>
        <w:t xml:space="preserve">„důvěrnými informacemi“ veškeré informace poskytnuté </w:t>
      </w:r>
      <w:r w:rsidR="00A9192D" w:rsidRPr="0073136F">
        <w:rPr>
          <w:sz w:val="14"/>
          <w:lang w:val="cs-CZ"/>
        </w:rPr>
        <w:t xml:space="preserve">v ústní nebo v písemné formě jednou smluvní stranou druhé smluvní straně, zejména (avšak nejen) veškeré informace obchodní, výrobní, technické či ekonomické povahy (včetně Smlouvy a těchto </w:t>
      </w:r>
      <w:r>
        <w:rPr>
          <w:sz w:val="14"/>
          <w:lang w:val="cs-CZ"/>
        </w:rPr>
        <w:t>VOP</w:t>
      </w:r>
      <w:r w:rsidR="00A9192D" w:rsidRPr="0073136F">
        <w:rPr>
          <w:sz w:val="14"/>
          <w:lang w:val="cs-CZ"/>
        </w:rPr>
        <w:t>) související s činností informace poskytující smluvní strany, které mají skutečnou nebo aspoň potenciální hodnotu a které nejsou v příslušných obchodních kruzích běžně dostupné, aniž by jako důvěrné musely být označeny.</w:t>
      </w:r>
    </w:p>
    <w:p w14:paraId="26383F7B" w14:textId="42CA9280" w:rsidR="0000025D" w:rsidRPr="00CA5C4B" w:rsidRDefault="00A9192D" w:rsidP="00CA5C4B">
      <w:pPr>
        <w:pStyle w:val="Akapitzlist"/>
        <w:numPr>
          <w:ilvl w:val="0"/>
          <w:numId w:val="2"/>
        </w:numPr>
        <w:tabs>
          <w:tab w:val="left" w:pos="580"/>
          <w:tab w:val="left" w:pos="581"/>
        </w:tabs>
        <w:spacing w:before="0" w:after="240" w:line="244" w:lineRule="auto"/>
        <w:ind w:right="113" w:firstLine="0"/>
        <w:rPr>
          <w:sz w:val="14"/>
          <w:szCs w:val="14"/>
          <w:lang w:val="cs-CZ"/>
        </w:rPr>
      </w:pPr>
      <w:r w:rsidRPr="00CA5C4B">
        <w:rPr>
          <w:b/>
          <w:color w:val="00396B"/>
          <w:sz w:val="14"/>
          <w:lang w:val="cs-CZ"/>
        </w:rPr>
        <w:t>Předání pohledávky Coface Czech k inkasní činnosti</w:t>
      </w:r>
      <w:r w:rsidRPr="00CA5C4B">
        <w:rPr>
          <w:b/>
          <w:sz w:val="14"/>
          <w:lang w:val="cs-CZ"/>
        </w:rPr>
        <w:t xml:space="preserve"> </w:t>
      </w:r>
      <w:r w:rsidRPr="00CA5C4B">
        <w:rPr>
          <w:sz w:val="14"/>
          <w:lang w:val="cs-CZ"/>
        </w:rPr>
        <w:t>Klient je oprávněn předat Coface Czech svou pohledávku, zůstává však jej</w:t>
      </w:r>
      <w:r w:rsidR="00C401A6" w:rsidRPr="00CA5C4B">
        <w:rPr>
          <w:sz w:val="14"/>
          <w:lang w:val="cs-CZ"/>
        </w:rPr>
        <w:t xml:space="preserve">ím věřitelem; může tak dle své </w:t>
      </w:r>
      <w:r w:rsidRPr="00CA5C4B">
        <w:rPr>
          <w:sz w:val="14"/>
          <w:lang w:val="cs-CZ"/>
        </w:rPr>
        <w:t>volby učinit (a po předání s Coface Czech dále komunikovat) na a</w:t>
      </w:r>
      <w:r w:rsidR="00C401A6" w:rsidRPr="00CA5C4B">
        <w:rPr>
          <w:sz w:val="14"/>
          <w:lang w:val="cs-CZ"/>
        </w:rPr>
        <w:t xml:space="preserve">drese a způsoby uvedenými sub 7 těchto VOP. Klient předává Coface Czech údaje </w:t>
      </w:r>
      <w:r w:rsidRPr="00CA5C4B">
        <w:rPr>
          <w:sz w:val="14"/>
          <w:lang w:val="cs-CZ"/>
        </w:rPr>
        <w:t>o pohledávkách v rozsahu dohodn</w:t>
      </w:r>
      <w:r w:rsidR="00CA5C4B" w:rsidRPr="00CA5C4B">
        <w:rPr>
          <w:sz w:val="14"/>
          <w:lang w:val="cs-CZ"/>
        </w:rPr>
        <w:t>utém ve Smlouvě. V případě pře</w:t>
      </w:r>
      <w:r w:rsidRPr="00CA5C4B">
        <w:rPr>
          <w:sz w:val="14"/>
          <w:lang w:val="cs-CZ"/>
        </w:rPr>
        <w:t>dání v den, který není pracovním dnem, se pohledávka považuje</w:t>
      </w:r>
      <w:r w:rsidRPr="00CA5C4B">
        <w:rPr>
          <w:spacing w:val="30"/>
          <w:sz w:val="14"/>
          <w:lang w:val="cs-CZ"/>
        </w:rPr>
        <w:t xml:space="preserve"> </w:t>
      </w:r>
      <w:r w:rsidRPr="00CA5C4B">
        <w:rPr>
          <w:sz w:val="14"/>
          <w:szCs w:val="14"/>
          <w:lang w:val="cs-CZ"/>
        </w:rPr>
        <w:t>za</w:t>
      </w:r>
      <w:r w:rsidR="00CA5C4B">
        <w:rPr>
          <w:sz w:val="14"/>
          <w:szCs w:val="14"/>
          <w:lang w:val="cs-CZ"/>
        </w:rPr>
        <w:t xml:space="preserve"> </w:t>
      </w:r>
      <w:r w:rsidRPr="00CA5C4B">
        <w:rPr>
          <w:sz w:val="14"/>
          <w:szCs w:val="14"/>
          <w:lang w:val="cs-CZ"/>
        </w:rPr>
        <w:t>předanou v nejblíže následující pracovní den. Předáním pohledávky Klient prohlašuje, že údaje o pohledávce jsou správné a úplné, že odpovídají právním vztahům existujícím mezi ním a dlužníkem, a že neexistují žádné závažné skutečnosti nebo okolnosti, jejic</w:t>
      </w:r>
      <w:r w:rsidR="00C401A6" w:rsidRPr="00CA5C4B">
        <w:rPr>
          <w:sz w:val="14"/>
          <w:szCs w:val="14"/>
          <w:lang w:val="cs-CZ"/>
        </w:rPr>
        <w:t>hž opo</w:t>
      </w:r>
      <w:r w:rsidRPr="00CA5C4B">
        <w:rPr>
          <w:sz w:val="14"/>
          <w:szCs w:val="14"/>
          <w:lang w:val="cs-CZ"/>
        </w:rPr>
        <w:t>menutí by činilo takové údaje zavádějícími. Klient tímto současně prohlašuje, že pohledávka není předmětem soudního, rozhodčího, vykonávacího (exekučního) či insolvenčního řízení, a dále, že není promlčená ani prekludovaná.</w:t>
      </w:r>
    </w:p>
    <w:p w14:paraId="56E81C63" w14:textId="77777777" w:rsidR="0000025D" w:rsidRPr="0073136F" w:rsidRDefault="00A9192D">
      <w:pPr>
        <w:pStyle w:val="Nagwek1"/>
        <w:numPr>
          <w:ilvl w:val="0"/>
          <w:numId w:val="2"/>
        </w:numPr>
        <w:tabs>
          <w:tab w:val="left" w:pos="581"/>
        </w:tabs>
        <w:spacing w:before="45"/>
        <w:ind w:left="580" w:right="116" w:hanging="480"/>
        <w:jc w:val="both"/>
        <w:rPr>
          <w:lang w:val="cs-CZ"/>
        </w:rPr>
      </w:pPr>
      <w:r w:rsidRPr="0073136F">
        <w:rPr>
          <w:color w:val="00396B"/>
          <w:lang w:val="cs-CZ"/>
        </w:rPr>
        <w:t>Činnost Coface Czech pro Klienta; Práva a povinnosti Coface</w:t>
      </w:r>
      <w:r w:rsidRPr="0073136F">
        <w:rPr>
          <w:color w:val="00396B"/>
          <w:spacing w:val="-6"/>
          <w:lang w:val="cs-CZ"/>
        </w:rPr>
        <w:t xml:space="preserve"> </w:t>
      </w:r>
      <w:r w:rsidRPr="0073136F">
        <w:rPr>
          <w:color w:val="00396B"/>
          <w:lang w:val="cs-CZ"/>
        </w:rPr>
        <w:t>Czech</w:t>
      </w:r>
    </w:p>
    <w:p w14:paraId="2195DF7A" w14:textId="27C34DE7" w:rsidR="0000025D" w:rsidRPr="0073136F" w:rsidRDefault="00A9192D">
      <w:pPr>
        <w:pStyle w:val="Akapitzlist"/>
        <w:numPr>
          <w:ilvl w:val="1"/>
          <w:numId w:val="2"/>
        </w:numPr>
        <w:tabs>
          <w:tab w:val="left" w:pos="581"/>
        </w:tabs>
        <w:spacing w:before="22"/>
        <w:ind w:right="112"/>
        <w:rPr>
          <w:sz w:val="14"/>
          <w:lang w:val="cs-CZ"/>
        </w:rPr>
      </w:pPr>
      <w:r w:rsidRPr="0073136F">
        <w:rPr>
          <w:sz w:val="14"/>
          <w:lang w:val="cs-CZ"/>
        </w:rPr>
        <w:t xml:space="preserve">Coface Czech je oprávněna </w:t>
      </w:r>
      <w:r w:rsidR="00C401A6">
        <w:rPr>
          <w:sz w:val="14"/>
          <w:lang w:val="cs-CZ"/>
        </w:rPr>
        <w:t>stanovit formu a prostředky pro</w:t>
      </w:r>
      <w:r w:rsidRPr="0073136F">
        <w:rPr>
          <w:sz w:val="14"/>
          <w:lang w:val="cs-CZ"/>
        </w:rPr>
        <w:t>vádění inkasní činnosti; vžd</w:t>
      </w:r>
      <w:r w:rsidR="00C401A6">
        <w:rPr>
          <w:sz w:val="14"/>
          <w:lang w:val="cs-CZ"/>
        </w:rPr>
        <w:t xml:space="preserve">y však bude respektovat pokyny </w:t>
      </w:r>
      <w:r w:rsidRPr="0073136F">
        <w:rPr>
          <w:sz w:val="14"/>
          <w:lang w:val="cs-CZ"/>
        </w:rPr>
        <w:t>a přání Klienta neodporujíc</w:t>
      </w:r>
      <w:r w:rsidR="00C401A6">
        <w:rPr>
          <w:sz w:val="14"/>
          <w:lang w:val="cs-CZ"/>
        </w:rPr>
        <w:t>í právním předpisům ani obchod</w:t>
      </w:r>
      <w:r w:rsidRPr="0073136F">
        <w:rPr>
          <w:sz w:val="14"/>
          <w:lang w:val="cs-CZ"/>
        </w:rPr>
        <w:t>ním zájmům Coface. Pro účely zjištěn</w:t>
      </w:r>
      <w:r w:rsidR="00C401A6">
        <w:rPr>
          <w:sz w:val="14"/>
          <w:lang w:val="cs-CZ"/>
        </w:rPr>
        <w:t>í předmětu inkasní čin</w:t>
      </w:r>
      <w:r w:rsidRPr="0073136F">
        <w:rPr>
          <w:sz w:val="14"/>
          <w:lang w:val="cs-CZ"/>
        </w:rPr>
        <w:t>nosti se smluvní strany dohod</w:t>
      </w:r>
      <w:r w:rsidR="00C401A6">
        <w:rPr>
          <w:sz w:val="14"/>
          <w:lang w:val="cs-CZ"/>
        </w:rPr>
        <w:t>ly, že je-li tuzemská pohledáv</w:t>
      </w:r>
      <w:r w:rsidRPr="0073136F">
        <w:rPr>
          <w:sz w:val="14"/>
          <w:lang w:val="cs-CZ"/>
        </w:rPr>
        <w:t xml:space="preserve">ka vyjádřena v jiné měně </w:t>
      </w:r>
      <w:r w:rsidR="00C401A6">
        <w:rPr>
          <w:sz w:val="14"/>
          <w:lang w:val="cs-CZ"/>
        </w:rPr>
        <w:t>než v zákonné měně České repub</w:t>
      </w:r>
      <w:r w:rsidRPr="0073136F">
        <w:rPr>
          <w:sz w:val="14"/>
          <w:lang w:val="cs-CZ"/>
        </w:rPr>
        <w:t>liky, přepočítá ji Coface C</w:t>
      </w:r>
      <w:r w:rsidR="00C401A6">
        <w:rPr>
          <w:sz w:val="14"/>
          <w:lang w:val="cs-CZ"/>
        </w:rPr>
        <w:t>zech na zákonnou měnu České re</w:t>
      </w:r>
      <w:r w:rsidR="009F0151">
        <w:rPr>
          <w:sz w:val="14"/>
          <w:lang w:val="cs-CZ"/>
        </w:rPr>
        <w:t>publiky podle směnného kurzu vyhlášeného pro den předání.</w:t>
      </w:r>
    </w:p>
    <w:p w14:paraId="0DAB192D" w14:textId="77777777" w:rsidR="0000025D" w:rsidRPr="0073136F" w:rsidRDefault="00A9192D">
      <w:pPr>
        <w:pStyle w:val="Akapitzlist"/>
        <w:numPr>
          <w:ilvl w:val="1"/>
          <w:numId w:val="2"/>
        </w:numPr>
        <w:tabs>
          <w:tab w:val="left" w:pos="581"/>
        </w:tabs>
        <w:spacing w:line="237" w:lineRule="auto"/>
        <w:ind w:right="122"/>
        <w:rPr>
          <w:sz w:val="14"/>
          <w:lang w:val="cs-CZ"/>
        </w:rPr>
      </w:pPr>
      <w:r w:rsidRPr="0073136F">
        <w:rPr>
          <w:sz w:val="14"/>
          <w:lang w:val="cs-CZ"/>
        </w:rPr>
        <w:t>Ke splnění svých závazků je Coface Czech oprávněna použít třetí osoby</w:t>
      </w:r>
      <w:r w:rsidRPr="0073136F">
        <w:rPr>
          <w:spacing w:val="-17"/>
          <w:sz w:val="14"/>
          <w:lang w:val="cs-CZ"/>
        </w:rPr>
        <w:t xml:space="preserve"> </w:t>
      </w:r>
      <w:r w:rsidRPr="0073136F">
        <w:rPr>
          <w:sz w:val="14"/>
          <w:lang w:val="cs-CZ"/>
        </w:rPr>
        <w:t>(subdodavatele).</w:t>
      </w:r>
    </w:p>
    <w:p w14:paraId="77F17C41" w14:textId="3EACB700" w:rsidR="0000025D" w:rsidRPr="0073136F" w:rsidRDefault="00A9192D">
      <w:pPr>
        <w:pStyle w:val="Akapitzlist"/>
        <w:numPr>
          <w:ilvl w:val="1"/>
          <w:numId w:val="2"/>
        </w:numPr>
        <w:tabs>
          <w:tab w:val="left" w:pos="581"/>
        </w:tabs>
        <w:spacing w:before="21"/>
        <w:ind w:right="114"/>
        <w:rPr>
          <w:sz w:val="14"/>
          <w:lang w:val="cs-CZ"/>
        </w:rPr>
      </w:pPr>
      <w:r w:rsidRPr="0073136F">
        <w:rPr>
          <w:sz w:val="14"/>
          <w:lang w:val="cs-CZ"/>
        </w:rPr>
        <w:t xml:space="preserve">Coface Czech je oprávněna </w:t>
      </w:r>
      <w:r w:rsidR="009F0151">
        <w:rPr>
          <w:sz w:val="14"/>
          <w:lang w:val="cs-CZ"/>
        </w:rPr>
        <w:t>inkaso</w:t>
      </w:r>
      <w:r w:rsidRPr="0073136F">
        <w:rPr>
          <w:sz w:val="14"/>
          <w:lang w:val="cs-CZ"/>
        </w:rPr>
        <w:t>vat pohledávky na vlastní úč</w:t>
      </w:r>
      <w:r w:rsidR="00245D1F">
        <w:rPr>
          <w:sz w:val="14"/>
          <w:lang w:val="cs-CZ"/>
        </w:rPr>
        <w:t>et</w:t>
      </w:r>
      <w:r w:rsidRPr="0073136F">
        <w:rPr>
          <w:sz w:val="14"/>
          <w:lang w:val="cs-CZ"/>
        </w:rPr>
        <w:t>. V těchto případ</w:t>
      </w:r>
      <w:r w:rsidR="00245D1F">
        <w:rPr>
          <w:sz w:val="14"/>
          <w:lang w:val="cs-CZ"/>
        </w:rPr>
        <w:t>ech je Coface Czech povinna do 10</w:t>
      </w:r>
      <w:r w:rsidRPr="0073136F">
        <w:rPr>
          <w:sz w:val="14"/>
          <w:lang w:val="cs-CZ"/>
        </w:rPr>
        <w:t xml:space="preserve"> pracovních dnů po </w:t>
      </w:r>
      <w:r w:rsidR="009F0151">
        <w:rPr>
          <w:sz w:val="14"/>
          <w:lang w:val="cs-CZ"/>
        </w:rPr>
        <w:t>obdržení plnění převést</w:t>
      </w:r>
      <w:r w:rsidRPr="0073136F">
        <w:rPr>
          <w:sz w:val="14"/>
          <w:lang w:val="cs-CZ"/>
        </w:rPr>
        <w:t xml:space="preserve"> toto plnění na účet Klienta po odečtení své odměny. Vzájemné pohledávky Coface Czech a K</w:t>
      </w:r>
      <w:r w:rsidR="00C401A6">
        <w:rPr>
          <w:sz w:val="14"/>
          <w:lang w:val="cs-CZ"/>
        </w:rPr>
        <w:t>lienta tak kdykoli zaniknou za</w:t>
      </w:r>
      <w:r w:rsidRPr="0073136F">
        <w:rPr>
          <w:sz w:val="14"/>
          <w:lang w:val="cs-CZ"/>
        </w:rPr>
        <w:t xml:space="preserve">počtením (o čemž se tímto smluvní strany předem výslovně dohodly), aniž by jedna smluvní strana musela vůči druhé smluvní straně učinit jednostranný úkon směřující k </w:t>
      </w:r>
      <w:r w:rsidR="007C61B2" w:rsidRPr="0073136F">
        <w:rPr>
          <w:sz w:val="14"/>
          <w:lang w:val="cs-CZ"/>
        </w:rPr>
        <w:t>zapo</w:t>
      </w:r>
      <w:r w:rsidR="007C61B2">
        <w:rPr>
          <w:sz w:val="14"/>
          <w:lang w:val="cs-CZ"/>
        </w:rPr>
        <w:t>čtení; Coface Czech</w:t>
      </w:r>
      <w:r w:rsidR="00C401A6">
        <w:rPr>
          <w:sz w:val="14"/>
          <w:lang w:val="cs-CZ"/>
        </w:rPr>
        <w:t xml:space="preserve"> je oprávněna započíst svou </w:t>
      </w:r>
      <w:r w:rsidRPr="0073136F">
        <w:rPr>
          <w:sz w:val="14"/>
          <w:lang w:val="cs-CZ"/>
        </w:rPr>
        <w:t>pohledávku i v případě, že tato není dosud splatná; Coface Czech je dále oprávněna započíst svou pohle</w:t>
      </w:r>
      <w:r w:rsidR="00C401A6">
        <w:rPr>
          <w:sz w:val="14"/>
          <w:lang w:val="cs-CZ"/>
        </w:rPr>
        <w:t>dávku i v případě, že je pohle</w:t>
      </w:r>
      <w:r w:rsidRPr="0073136F">
        <w:rPr>
          <w:sz w:val="14"/>
          <w:lang w:val="cs-CZ"/>
        </w:rPr>
        <w:t>dávka Klienta vyjádřena v jiné měně než pohledávka Coface Czech.</w:t>
      </w:r>
    </w:p>
    <w:p w14:paraId="0638D090" w14:textId="59EC2376" w:rsidR="0000025D" w:rsidRPr="0073136F" w:rsidRDefault="00A9192D">
      <w:pPr>
        <w:pStyle w:val="Akapitzlist"/>
        <w:numPr>
          <w:ilvl w:val="1"/>
          <w:numId w:val="2"/>
        </w:numPr>
        <w:tabs>
          <w:tab w:val="left" w:pos="581"/>
        </w:tabs>
        <w:spacing w:line="237" w:lineRule="auto"/>
        <w:ind w:right="115"/>
        <w:rPr>
          <w:sz w:val="14"/>
          <w:lang w:val="cs-CZ"/>
        </w:rPr>
      </w:pPr>
      <w:r w:rsidRPr="0073136F">
        <w:rPr>
          <w:sz w:val="14"/>
          <w:lang w:val="cs-CZ"/>
        </w:rPr>
        <w:t xml:space="preserve">Za uspokojení pohledávky </w:t>
      </w:r>
      <w:r w:rsidR="00C401A6">
        <w:rPr>
          <w:sz w:val="14"/>
          <w:lang w:val="cs-CZ"/>
        </w:rPr>
        <w:t>dlužníkem vedoucí ke vzniku ná</w:t>
      </w:r>
      <w:r w:rsidRPr="0073136F">
        <w:rPr>
          <w:sz w:val="14"/>
          <w:lang w:val="cs-CZ"/>
        </w:rPr>
        <w:t>roku Coface Czech na odmě</w:t>
      </w:r>
      <w:r w:rsidR="00C401A6">
        <w:rPr>
          <w:sz w:val="14"/>
          <w:lang w:val="cs-CZ"/>
        </w:rPr>
        <w:t>nu vůči Klientovi se mimo uspo</w:t>
      </w:r>
      <w:r w:rsidRPr="0073136F">
        <w:rPr>
          <w:sz w:val="14"/>
          <w:lang w:val="cs-CZ"/>
        </w:rPr>
        <w:t>kojení pohledávky zaplacením</w:t>
      </w:r>
      <w:r w:rsidRPr="0073136F">
        <w:rPr>
          <w:spacing w:val="-25"/>
          <w:sz w:val="14"/>
          <w:lang w:val="cs-CZ"/>
        </w:rPr>
        <w:t xml:space="preserve"> </w:t>
      </w:r>
      <w:r w:rsidRPr="0073136F">
        <w:rPr>
          <w:sz w:val="14"/>
          <w:lang w:val="cs-CZ"/>
        </w:rPr>
        <w:t>považuje:</w:t>
      </w:r>
    </w:p>
    <w:p w14:paraId="4CA5DD08" w14:textId="63051D49" w:rsidR="0000025D" w:rsidRPr="0073136F" w:rsidRDefault="00A9192D">
      <w:pPr>
        <w:pStyle w:val="Akapitzlist"/>
        <w:numPr>
          <w:ilvl w:val="2"/>
          <w:numId w:val="2"/>
        </w:numPr>
        <w:tabs>
          <w:tab w:val="left" w:pos="1121"/>
        </w:tabs>
        <w:spacing w:line="237" w:lineRule="auto"/>
        <w:ind w:right="116"/>
        <w:rPr>
          <w:sz w:val="14"/>
          <w:lang w:val="cs-CZ"/>
        </w:rPr>
      </w:pPr>
      <w:r w:rsidRPr="0073136F">
        <w:rPr>
          <w:sz w:val="14"/>
          <w:lang w:val="cs-CZ"/>
        </w:rPr>
        <w:t>započtení pohledá</w:t>
      </w:r>
      <w:r w:rsidR="00C401A6">
        <w:rPr>
          <w:sz w:val="14"/>
          <w:lang w:val="cs-CZ"/>
        </w:rPr>
        <w:t>vky jednostranným úkonem či do</w:t>
      </w:r>
      <w:r w:rsidRPr="0073136F">
        <w:rPr>
          <w:sz w:val="14"/>
          <w:lang w:val="cs-CZ"/>
        </w:rPr>
        <w:t>hodou;</w:t>
      </w:r>
    </w:p>
    <w:p w14:paraId="121D6901" w14:textId="50EE5B70" w:rsidR="0000025D" w:rsidRPr="0073136F" w:rsidRDefault="00C401A6">
      <w:pPr>
        <w:pStyle w:val="Akapitzlist"/>
        <w:numPr>
          <w:ilvl w:val="2"/>
          <w:numId w:val="2"/>
        </w:numPr>
        <w:tabs>
          <w:tab w:val="left" w:pos="1121"/>
        </w:tabs>
        <w:spacing w:before="21"/>
        <w:ind w:right="115"/>
        <w:rPr>
          <w:sz w:val="14"/>
          <w:lang w:val="cs-CZ"/>
        </w:rPr>
      </w:pPr>
      <w:r>
        <w:rPr>
          <w:sz w:val="14"/>
          <w:lang w:val="cs-CZ"/>
        </w:rPr>
        <w:t xml:space="preserve">uzavření dohody mezi </w:t>
      </w:r>
      <w:r w:rsidR="00A9192D" w:rsidRPr="0073136F">
        <w:rPr>
          <w:sz w:val="14"/>
          <w:lang w:val="cs-CZ"/>
        </w:rPr>
        <w:t>Klientem</w:t>
      </w:r>
      <w:r>
        <w:rPr>
          <w:sz w:val="14"/>
          <w:lang w:val="cs-CZ"/>
        </w:rPr>
        <w:t xml:space="preserve"> a dlužníkem </w:t>
      </w:r>
      <w:r w:rsidR="00A9192D" w:rsidRPr="0073136F">
        <w:rPr>
          <w:sz w:val="14"/>
          <w:lang w:val="cs-CZ"/>
        </w:rPr>
        <w:t>o nahrazení závaz</w:t>
      </w:r>
      <w:r>
        <w:rPr>
          <w:sz w:val="14"/>
          <w:lang w:val="cs-CZ"/>
        </w:rPr>
        <w:t>ku odpovídajícího pohledávce zá</w:t>
      </w:r>
      <w:r w:rsidR="00A9192D" w:rsidRPr="0073136F">
        <w:rPr>
          <w:sz w:val="14"/>
          <w:lang w:val="cs-CZ"/>
        </w:rPr>
        <w:t>vazkem jiným (včetně dobrovolného přijetí jakéhokoli náhradního plnění Klientem od dlužníka) v poměru hodnoty splnění toho</w:t>
      </w:r>
      <w:r>
        <w:rPr>
          <w:sz w:val="14"/>
          <w:lang w:val="cs-CZ"/>
        </w:rPr>
        <w:t>to jiného závazku (případně ná</w:t>
      </w:r>
      <w:r w:rsidR="00A9192D" w:rsidRPr="0073136F">
        <w:rPr>
          <w:sz w:val="14"/>
          <w:lang w:val="cs-CZ"/>
        </w:rPr>
        <w:t>hradního plnění) k výši</w:t>
      </w:r>
      <w:r w:rsidR="00A9192D" w:rsidRPr="0073136F">
        <w:rPr>
          <w:spacing w:val="-20"/>
          <w:sz w:val="14"/>
          <w:lang w:val="cs-CZ"/>
        </w:rPr>
        <w:t xml:space="preserve"> </w:t>
      </w:r>
      <w:r w:rsidR="00A9192D" w:rsidRPr="0073136F">
        <w:rPr>
          <w:sz w:val="14"/>
          <w:lang w:val="cs-CZ"/>
        </w:rPr>
        <w:t>pohledávky;</w:t>
      </w:r>
    </w:p>
    <w:p w14:paraId="0D5210D3" w14:textId="39BBBB2C" w:rsidR="0000025D" w:rsidRPr="0073136F" w:rsidRDefault="00A9192D">
      <w:pPr>
        <w:pStyle w:val="Akapitzlist"/>
        <w:numPr>
          <w:ilvl w:val="2"/>
          <w:numId w:val="2"/>
        </w:numPr>
        <w:tabs>
          <w:tab w:val="left" w:pos="1121"/>
        </w:tabs>
        <w:spacing w:before="21"/>
        <w:ind w:right="119"/>
        <w:rPr>
          <w:sz w:val="14"/>
          <w:lang w:val="cs-CZ"/>
        </w:rPr>
      </w:pPr>
      <w:r w:rsidRPr="0073136F">
        <w:rPr>
          <w:sz w:val="14"/>
          <w:lang w:val="cs-CZ"/>
        </w:rPr>
        <w:t>uzavřen</w:t>
      </w:r>
      <w:r w:rsidR="009F0151">
        <w:rPr>
          <w:sz w:val="14"/>
          <w:lang w:val="cs-CZ"/>
        </w:rPr>
        <w:t xml:space="preserve">í dohody mezi Klientem </w:t>
      </w:r>
      <w:r w:rsidRPr="0073136F">
        <w:rPr>
          <w:sz w:val="14"/>
          <w:lang w:val="cs-CZ"/>
        </w:rPr>
        <w:t>a</w:t>
      </w:r>
      <w:r w:rsidR="009F0151">
        <w:rPr>
          <w:sz w:val="14"/>
          <w:lang w:val="cs-CZ"/>
        </w:rPr>
        <w:t xml:space="preserve"> </w:t>
      </w:r>
      <w:r w:rsidRPr="0073136F">
        <w:rPr>
          <w:sz w:val="14"/>
          <w:lang w:val="cs-CZ"/>
        </w:rPr>
        <w:t>dlužníkem o zrušení závazku, vzdání se práva nebo prominutí dluhu;</w:t>
      </w:r>
    </w:p>
    <w:p w14:paraId="205C30BE" w14:textId="77777777" w:rsidR="0000025D" w:rsidRPr="0073136F" w:rsidRDefault="00A9192D">
      <w:pPr>
        <w:pStyle w:val="Akapitzlist"/>
        <w:numPr>
          <w:ilvl w:val="2"/>
          <w:numId w:val="2"/>
        </w:numPr>
        <w:tabs>
          <w:tab w:val="left" w:pos="1121"/>
        </w:tabs>
        <w:spacing w:line="237" w:lineRule="auto"/>
        <w:ind w:right="118"/>
        <w:rPr>
          <w:sz w:val="14"/>
          <w:lang w:val="cs-CZ"/>
        </w:rPr>
      </w:pPr>
      <w:r w:rsidRPr="0073136F">
        <w:rPr>
          <w:sz w:val="14"/>
          <w:lang w:val="cs-CZ"/>
        </w:rPr>
        <w:t>uzavření dohody o narovnání jakéhokoli obsahu mezi Klientem a</w:t>
      </w:r>
      <w:r w:rsidRPr="0073136F">
        <w:rPr>
          <w:spacing w:val="-16"/>
          <w:sz w:val="14"/>
          <w:lang w:val="cs-CZ"/>
        </w:rPr>
        <w:t xml:space="preserve"> </w:t>
      </w:r>
      <w:r w:rsidRPr="0073136F">
        <w:rPr>
          <w:sz w:val="14"/>
          <w:lang w:val="cs-CZ"/>
        </w:rPr>
        <w:t>dlužníkem;</w:t>
      </w:r>
    </w:p>
    <w:p w14:paraId="0BC6A472" w14:textId="77777777" w:rsidR="0000025D" w:rsidRPr="0073136F" w:rsidRDefault="00A9192D">
      <w:pPr>
        <w:pStyle w:val="Akapitzlist"/>
        <w:numPr>
          <w:ilvl w:val="2"/>
          <w:numId w:val="2"/>
        </w:numPr>
        <w:tabs>
          <w:tab w:val="left" w:pos="1121"/>
        </w:tabs>
        <w:spacing w:before="21"/>
        <w:rPr>
          <w:sz w:val="14"/>
          <w:lang w:val="cs-CZ"/>
        </w:rPr>
      </w:pPr>
      <w:r w:rsidRPr="0073136F">
        <w:rPr>
          <w:sz w:val="14"/>
          <w:lang w:val="cs-CZ"/>
        </w:rPr>
        <w:t>splynutí;</w:t>
      </w:r>
    </w:p>
    <w:p w14:paraId="5E9F5E76" w14:textId="77777777" w:rsidR="0000025D" w:rsidRPr="0073136F" w:rsidRDefault="00A9192D">
      <w:pPr>
        <w:pStyle w:val="Akapitzlist"/>
        <w:numPr>
          <w:ilvl w:val="2"/>
          <w:numId w:val="2"/>
        </w:numPr>
        <w:tabs>
          <w:tab w:val="left" w:pos="1121"/>
        </w:tabs>
        <w:spacing w:before="20" w:line="237" w:lineRule="auto"/>
        <w:ind w:right="117"/>
        <w:rPr>
          <w:sz w:val="14"/>
          <w:lang w:val="cs-CZ"/>
        </w:rPr>
      </w:pPr>
      <w:r w:rsidRPr="0073136F">
        <w:rPr>
          <w:sz w:val="14"/>
          <w:lang w:val="cs-CZ"/>
        </w:rPr>
        <w:t>postoupení pohledávky Klientem třetí osobě (tj. jiné než</w:t>
      </w:r>
      <w:r w:rsidRPr="0073136F">
        <w:rPr>
          <w:spacing w:val="-7"/>
          <w:sz w:val="14"/>
          <w:lang w:val="cs-CZ"/>
        </w:rPr>
        <w:t xml:space="preserve"> </w:t>
      </w:r>
      <w:r w:rsidRPr="0073136F">
        <w:rPr>
          <w:sz w:val="14"/>
          <w:lang w:val="cs-CZ"/>
        </w:rPr>
        <w:t>Coface);</w:t>
      </w:r>
    </w:p>
    <w:p w14:paraId="22F7C5C9" w14:textId="277BB1A1" w:rsidR="0000025D" w:rsidRPr="0073136F" w:rsidRDefault="00A9192D">
      <w:pPr>
        <w:pStyle w:val="Akapitzlist"/>
        <w:numPr>
          <w:ilvl w:val="2"/>
          <w:numId w:val="2"/>
        </w:numPr>
        <w:tabs>
          <w:tab w:val="left" w:pos="1121"/>
        </w:tabs>
        <w:spacing w:line="237" w:lineRule="auto"/>
        <w:ind w:right="115"/>
        <w:rPr>
          <w:sz w:val="14"/>
          <w:lang w:val="cs-CZ"/>
        </w:rPr>
      </w:pPr>
      <w:r w:rsidRPr="0073136F">
        <w:rPr>
          <w:sz w:val="14"/>
          <w:lang w:val="cs-CZ"/>
        </w:rPr>
        <w:t>zastavení pohledávky K</w:t>
      </w:r>
      <w:r w:rsidR="00C401A6">
        <w:rPr>
          <w:sz w:val="14"/>
          <w:lang w:val="cs-CZ"/>
        </w:rPr>
        <w:t xml:space="preserve">lientem v případě, že dlužník </w:t>
      </w:r>
      <w:r w:rsidRPr="0073136F">
        <w:rPr>
          <w:sz w:val="14"/>
          <w:lang w:val="cs-CZ"/>
        </w:rPr>
        <w:t xml:space="preserve">v pozici poddlužníka </w:t>
      </w:r>
      <w:r w:rsidR="00C401A6">
        <w:rPr>
          <w:sz w:val="14"/>
          <w:lang w:val="cs-CZ"/>
        </w:rPr>
        <w:t>musí plnit svůj závazek zástav</w:t>
      </w:r>
      <w:r w:rsidRPr="0073136F">
        <w:rPr>
          <w:sz w:val="14"/>
          <w:lang w:val="cs-CZ"/>
        </w:rPr>
        <w:t>nímu</w:t>
      </w:r>
      <w:r w:rsidRPr="0073136F">
        <w:rPr>
          <w:spacing w:val="-10"/>
          <w:sz w:val="14"/>
          <w:lang w:val="cs-CZ"/>
        </w:rPr>
        <w:t xml:space="preserve"> </w:t>
      </w:r>
      <w:r w:rsidRPr="0073136F">
        <w:rPr>
          <w:sz w:val="14"/>
          <w:lang w:val="cs-CZ"/>
        </w:rPr>
        <w:t>věřiteli;</w:t>
      </w:r>
    </w:p>
    <w:p w14:paraId="103CC457" w14:textId="7913D8F8" w:rsidR="004A4220" w:rsidRPr="004A4220" w:rsidRDefault="004A4220" w:rsidP="004A4220">
      <w:pPr>
        <w:tabs>
          <w:tab w:val="left" w:pos="1121"/>
        </w:tabs>
        <w:spacing w:line="237" w:lineRule="auto"/>
        <w:ind w:left="580" w:right="115"/>
        <w:rPr>
          <w:sz w:val="14"/>
          <w:lang w:val="cs-CZ"/>
        </w:rPr>
      </w:pPr>
    </w:p>
    <w:p w14:paraId="350AC050" w14:textId="36DD4B63" w:rsidR="0000025D" w:rsidRDefault="00A9192D">
      <w:pPr>
        <w:pStyle w:val="Akapitzlist"/>
        <w:numPr>
          <w:ilvl w:val="1"/>
          <w:numId w:val="2"/>
        </w:numPr>
        <w:tabs>
          <w:tab w:val="left" w:pos="581"/>
        </w:tabs>
        <w:spacing w:line="237" w:lineRule="auto"/>
        <w:ind w:right="115"/>
        <w:rPr>
          <w:sz w:val="14"/>
          <w:lang w:val="cs-CZ"/>
        </w:rPr>
      </w:pPr>
      <w:r w:rsidRPr="0073136F">
        <w:rPr>
          <w:sz w:val="14"/>
          <w:lang w:val="cs-CZ"/>
        </w:rPr>
        <w:t>Za uspokojení pohledávky je</w:t>
      </w:r>
      <w:r w:rsidR="00C401A6">
        <w:rPr>
          <w:sz w:val="14"/>
          <w:lang w:val="cs-CZ"/>
        </w:rPr>
        <w:t xml:space="preserve"> rovněž považováno její uspoko</w:t>
      </w:r>
      <w:r w:rsidRPr="0073136F">
        <w:rPr>
          <w:sz w:val="14"/>
          <w:lang w:val="cs-CZ"/>
        </w:rPr>
        <w:t>jení po ukončení Smlouvy, došlo-li k uspokojení za přispění Coface Czech při plnění</w:t>
      </w:r>
      <w:r w:rsidRPr="0073136F">
        <w:rPr>
          <w:spacing w:val="-17"/>
          <w:sz w:val="14"/>
          <w:lang w:val="cs-CZ"/>
        </w:rPr>
        <w:t xml:space="preserve"> </w:t>
      </w:r>
      <w:r w:rsidRPr="0073136F">
        <w:rPr>
          <w:sz w:val="14"/>
          <w:lang w:val="cs-CZ"/>
        </w:rPr>
        <w:t>Smlouvy.</w:t>
      </w:r>
    </w:p>
    <w:p w14:paraId="720863E5" w14:textId="0977A78B" w:rsidR="009F0151" w:rsidRDefault="009F0151" w:rsidP="009F0151">
      <w:pPr>
        <w:pStyle w:val="Akapitzlist"/>
        <w:tabs>
          <w:tab w:val="left" w:pos="581"/>
        </w:tabs>
        <w:spacing w:line="237" w:lineRule="auto"/>
        <w:ind w:left="580" w:right="115" w:firstLine="0"/>
        <w:rPr>
          <w:sz w:val="14"/>
          <w:lang w:val="cs-CZ"/>
        </w:rPr>
      </w:pPr>
    </w:p>
    <w:p w14:paraId="4E63464E" w14:textId="77777777" w:rsidR="004A4220" w:rsidRPr="0073136F" w:rsidRDefault="004A4220" w:rsidP="009F0151">
      <w:pPr>
        <w:pStyle w:val="Akapitzlist"/>
        <w:tabs>
          <w:tab w:val="left" w:pos="581"/>
        </w:tabs>
        <w:spacing w:line="237" w:lineRule="auto"/>
        <w:ind w:left="580" w:right="115" w:firstLine="0"/>
        <w:rPr>
          <w:sz w:val="14"/>
          <w:lang w:val="cs-CZ"/>
        </w:rPr>
      </w:pPr>
    </w:p>
    <w:p w14:paraId="78808B96" w14:textId="1704110E" w:rsidR="0000025D" w:rsidRPr="0073136F" w:rsidRDefault="00A9192D">
      <w:pPr>
        <w:pStyle w:val="Akapitzlist"/>
        <w:numPr>
          <w:ilvl w:val="1"/>
          <w:numId w:val="2"/>
        </w:numPr>
        <w:tabs>
          <w:tab w:val="left" w:pos="581"/>
        </w:tabs>
        <w:spacing w:before="22"/>
        <w:ind w:right="112"/>
        <w:rPr>
          <w:sz w:val="14"/>
          <w:lang w:val="cs-CZ"/>
        </w:rPr>
      </w:pPr>
      <w:r w:rsidRPr="0073136F">
        <w:rPr>
          <w:sz w:val="14"/>
          <w:lang w:val="cs-CZ"/>
        </w:rPr>
        <w:t>Bude-li k úspěšnému vymože</w:t>
      </w:r>
      <w:r w:rsidR="008B26F8">
        <w:rPr>
          <w:sz w:val="14"/>
          <w:lang w:val="cs-CZ"/>
        </w:rPr>
        <w:t>ní pohledávky Klienta třeba za</w:t>
      </w:r>
      <w:r w:rsidRPr="0073136F">
        <w:rPr>
          <w:sz w:val="14"/>
          <w:lang w:val="cs-CZ"/>
        </w:rPr>
        <w:t xml:space="preserve">hájit vymáhání pohledávky před soudem </w:t>
      </w:r>
      <w:r w:rsidR="00C401A6">
        <w:rPr>
          <w:sz w:val="14"/>
          <w:lang w:val="cs-CZ"/>
        </w:rPr>
        <w:t>nebo z</w:t>
      </w:r>
      <w:r w:rsidR="008B26F8">
        <w:rPr>
          <w:sz w:val="14"/>
          <w:lang w:val="cs-CZ"/>
        </w:rPr>
        <w:t xml:space="preserve">ahájit rozhodčí řízení, </w:t>
      </w:r>
      <w:r w:rsidR="008B26F8">
        <w:rPr>
          <w:sz w:val="14"/>
          <w:lang w:val="cs-CZ"/>
        </w:rPr>
        <w:lastRenderedPageBreak/>
        <w:t>event. v</w:t>
      </w:r>
      <w:r w:rsidR="00C401A6">
        <w:rPr>
          <w:sz w:val="14"/>
          <w:lang w:val="cs-CZ"/>
        </w:rPr>
        <w:t xml:space="preserve">ykonávací (exekuční) řízení, </w:t>
      </w:r>
      <w:r w:rsidRPr="0073136F">
        <w:rPr>
          <w:sz w:val="14"/>
          <w:lang w:val="cs-CZ"/>
        </w:rPr>
        <w:t>bude o tom Coface Czech Klienta</w:t>
      </w:r>
      <w:r w:rsidRPr="0073136F">
        <w:rPr>
          <w:spacing w:val="-23"/>
          <w:sz w:val="14"/>
          <w:lang w:val="cs-CZ"/>
        </w:rPr>
        <w:t xml:space="preserve"> </w:t>
      </w:r>
      <w:r w:rsidRPr="0073136F">
        <w:rPr>
          <w:sz w:val="14"/>
          <w:lang w:val="cs-CZ"/>
        </w:rPr>
        <w:t>informovat.</w:t>
      </w:r>
    </w:p>
    <w:p w14:paraId="7677E11D" w14:textId="4BCA213D" w:rsidR="0000025D" w:rsidRDefault="00A9192D">
      <w:pPr>
        <w:pStyle w:val="Akapitzlist"/>
        <w:numPr>
          <w:ilvl w:val="1"/>
          <w:numId w:val="2"/>
        </w:numPr>
        <w:tabs>
          <w:tab w:val="left" w:pos="581"/>
        </w:tabs>
        <w:spacing w:before="22"/>
        <w:ind w:right="116"/>
        <w:rPr>
          <w:sz w:val="14"/>
          <w:lang w:val="cs-CZ"/>
        </w:rPr>
      </w:pPr>
      <w:r w:rsidRPr="0073136F">
        <w:rPr>
          <w:sz w:val="14"/>
          <w:lang w:val="cs-CZ"/>
        </w:rPr>
        <w:t>Coface Czech je oprávněna kdykoli sdělit Klientovi, že ve vztahu k určité pohledávce inkasní činnost ukončuje, a vrátit mu doklady k pohledávce se vztahujíc</w:t>
      </w:r>
      <w:r w:rsidR="00C401A6">
        <w:rPr>
          <w:sz w:val="14"/>
          <w:lang w:val="cs-CZ"/>
        </w:rPr>
        <w:t xml:space="preserve">í, které již event. od Klienta </w:t>
      </w:r>
      <w:r w:rsidRPr="0073136F">
        <w:rPr>
          <w:sz w:val="14"/>
          <w:lang w:val="cs-CZ"/>
        </w:rPr>
        <w:t>převzala.  To</w:t>
      </w:r>
      <w:r w:rsidR="00C401A6">
        <w:rPr>
          <w:sz w:val="14"/>
          <w:lang w:val="cs-CZ"/>
        </w:rPr>
        <w:t xml:space="preserve">to právo </w:t>
      </w:r>
      <w:r w:rsidR="007C61B2">
        <w:rPr>
          <w:sz w:val="14"/>
          <w:lang w:val="cs-CZ"/>
        </w:rPr>
        <w:t>má Coface Czech</w:t>
      </w:r>
      <w:r w:rsidR="00C401A6">
        <w:rPr>
          <w:sz w:val="14"/>
          <w:lang w:val="cs-CZ"/>
        </w:rPr>
        <w:t xml:space="preserve"> </w:t>
      </w:r>
      <w:r w:rsidRPr="0073136F">
        <w:rPr>
          <w:sz w:val="14"/>
          <w:lang w:val="cs-CZ"/>
        </w:rPr>
        <w:t>zejména v případě, že pohledávka je zjevně sporná (např. z důvodu vady plnění Klienta), promlčená či prekludovaná, nebo že by provádění inkasní činnosti bylo v rozporu s obchodními zájmy Coface.</w:t>
      </w:r>
    </w:p>
    <w:p w14:paraId="68F93770" w14:textId="77777777" w:rsidR="0000025D" w:rsidRPr="0073136F" w:rsidRDefault="0000025D">
      <w:pPr>
        <w:pStyle w:val="Tekstpodstawowy"/>
        <w:spacing w:before="10"/>
        <w:ind w:left="0" w:firstLine="0"/>
        <w:jc w:val="left"/>
        <w:rPr>
          <w:sz w:val="10"/>
          <w:lang w:val="cs-CZ"/>
        </w:rPr>
      </w:pPr>
    </w:p>
    <w:p w14:paraId="3BD0B368" w14:textId="77777777" w:rsidR="0000025D" w:rsidRPr="0073136F" w:rsidRDefault="0000025D">
      <w:pPr>
        <w:rPr>
          <w:sz w:val="10"/>
          <w:lang w:val="cs-CZ"/>
        </w:rPr>
        <w:sectPr w:rsidR="0000025D" w:rsidRPr="0073136F" w:rsidSect="008B26F8">
          <w:headerReference w:type="default" r:id="rId9"/>
          <w:footerReference w:type="default" r:id="rId10"/>
          <w:pgSz w:w="11910" w:h="16840"/>
          <w:pgMar w:top="760" w:right="880" w:bottom="740" w:left="900" w:header="568" w:footer="542" w:gutter="0"/>
          <w:cols w:space="708"/>
        </w:sectPr>
      </w:pPr>
    </w:p>
    <w:p w14:paraId="507F6FF3" w14:textId="77777777" w:rsidR="0000025D" w:rsidRPr="0073136F" w:rsidRDefault="00A9192D">
      <w:pPr>
        <w:pStyle w:val="Nagwek1"/>
        <w:numPr>
          <w:ilvl w:val="0"/>
          <w:numId w:val="2"/>
        </w:numPr>
        <w:tabs>
          <w:tab w:val="left" w:pos="581"/>
          <w:tab w:val="left" w:pos="582"/>
        </w:tabs>
        <w:spacing w:before="99"/>
        <w:ind w:left="581" w:hanging="481"/>
        <w:rPr>
          <w:lang w:val="cs-CZ"/>
        </w:rPr>
      </w:pPr>
      <w:r w:rsidRPr="0073136F">
        <w:rPr>
          <w:color w:val="00396B"/>
          <w:lang w:val="cs-CZ"/>
        </w:rPr>
        <w:t>Práva a povinnosti</w:t>
      </w:r>
      <w:r w:rsidRPr="0073136F">
        <w:rPr>
          <w:color w:val="00396B"/>
          <w:spacing w:val="-15"/>
          <w:lang w:val="cs-CZ"/>
        </w:rPr>
        <w:t xml:space="preserve"> </w:t>
      </w:r>
      <w:r w:rsidRPr="0073136F">
        <w:rPr>
          <w:color w:val="00396B"/>
          <w:lang w:val="cs-CZ"/>
        </w:rPr>
        <w:t>Klienta</w:t>
      </w:r>
    </w:p>
    <w:p w14:paraId="43F6AEF2" w14:textId="77777777" w:rsidR="0000025D" w:rsidRPr="0073136F" w:rsidRDefault="00A9192D">
      <w:pPr>
        <w:pStyle w:val="Akapitzlist"/>
        <w:numPr>
          <w:ilvl w:val="1"/>
          <w:numId w:val="2"/>
        </w:numPr>
        <w:tabs>
          <w:tab w:val="left" w:pos="581"/>
          <w:tab w:val="left" w:pos="582"/>
        </w:tabs>
        <w:spacing w:before="21"/>
        <w:ind w:left="581" w:hanging="481"/>
        <w:rPr>
          <w:sz w:val="14"/>
          <w:lang w:val="cs-CZ"/>
        </w:rPr>
      </w:pPr>
      <w:r w:rsidRPr="0073136F">
        <w:rPr>
          <w:sz w:val="14"/>
          <w:lang w:val="cs-CZ"/>
        </w:rPr>
        <w:t>Za inkasní činnost zaplatí Klient Coface Czech</w:t>
      </w:r>
      <w:r w:rsidRPr="0073136F">
        <w:rPr>
          <w:spacing w:val="-27"/>
          <w:sz w:val="14"/>
          <w:lang w:val="cs-CZ"/>
        </w:rPr>
        <w:t xml:space="preserve"> </w:t>
      </w:r>
      <w:r w:rsidRPr="0073136F">
        <w:rPr>
          <w:sz w:val="14"/>
          <w:lang w:val="cs-CZ"/>
        </w:rPr>
        <w:t>odměnu.</w:t>
      </w:r>
    </w:p>
    <w:p w14:paraId="69A24271" w14:textId="1BA1C882" w:rsidR="0000025D" w:rsidRPr="0073136F" w:rsidRDefault="009F0151">
      <w:pPr>
        <w:pStyle w:val="Akapitzlist"/>
        <w:numPr>
          <w:ilvl w:val="1"/>
          <w:numId w:val="2"/>
        </w:numPr>
        <w:tabs>
          <w:tab w:val="left" w:pos="582"/>
        </w:tabs>
        <w:spacing w:before="19"/>
        <w:ind w:left="581" w:hanging="481"/>
        <w:rPr>
          <w:sz w:val="14"/>
          <w:lang w:val="cs-CZ"/>
        </w:rPr>
      </w:pPr>
      <w:r>
        <w:rPr>
          <w:sz w:val="14"/>
          <w:lang w:val="cs-CZ"/>
        </w:rPr>
        <w:t xml:space="preserve">Klient se zavazuje, že </w:t>
      </w:r>
      <w:r w:rsidR="00A9192D" w:rsidRPr="0073136F">
        <w:rPr>
          <w:sz w:val="14"/>
          <w:lang w:val="cs-CZ"/>
        </w:rPr>
        <w:t>pok</w:t>
      </w:r>
      <w:r>
        <w:rPr>
          <w:sz w:val="14"/>
          <w:lang w:val="cs-CZ"/>
        </w:rPr>
        <w:t>ud jde o pohledávky předané Co</w:t>
      </w:r>
      <w:r w:rsidR="00A9192D" w:rsidRPr="0073136F">
        <w:rPr>
          <w:sz w:val="14"/>
          <w:lang w:val="cs-CZ"/>
        </w:rPr>
        <w:t>face Czech k inkasní činnos</w:t>
      </w:r>
      <w:r>
        <w:rPr>
          <w:sz w:val="14"/>
          <w:lang w:val="cs-CZ"/>
        </w:rPr>
        <w:t xml:space="preserve">ti, </w:t>
      </w:r>
      <w:r w:rsidR="005A07EC">
        <w:rPr>
          <w:sz w:val="14"/>
          <w:lang w:val="cs-CZ"/>
        </w:rPr>
        <w:t>po dobu trvání Smlouvy neu</w:t>
      </w:r>
      <w:r w:rsidR="00A9192D" w:rsidRPr="0073136F">
        <w:rPr>
          <w:sz w:val="14"/>
          <w:lang w:val="cs-CZ"/>
        </w:rPr>
        <w:t>zavře s třetí osobou smlou</w:t>
      </w:r>
      <w:r w:rsidR="005A07EC">
        <w:rPr>
          <w:sz w:val="14"/>
          <w:lang w:val="cs-CZ"/>
        </w:rPr>
        <w:t>vu se stejným či obdobným před</w:t>
      </w:r>
      <w:r w:rsidR="00A9192D" w:rsidRPr="0073136F">
        <w:rPr>
          <w:sz w:val="14"/>
          <w:lang w:val="cs-CZ"/>
        </w:rPr>
        <w:t>mětem a účelem jako s Cof</w:t>
      </w:r>
      <w:r w:rsidR="005A07EC">
        <w:rPr>
          <w:sz w:val="14"/>
          <w:lang w:val="cs-CZ"/>
        </w:rPr>
        <w:t>ace Czech ani jinak nebude pro</w:t>
      </w:r>
      <w:r w:rsidR="00A9192D" w:rsidRPr="0073136F">
        <w:rPr>
          <w:sz w:val="14"/>
          <w:lang w:val="cs-CZ"/>
        </w:rPr>
        <w:t>vádět inkaso pohledávek předaných Coface Czech sám ani prostřednictvím třetích osob</w:t>
      </w:r>
      <w:r w:rsidR="005A07EC">
        <w:rPr>
          <w:sz w:val="14"/>
          <w:lang w:val="cs-CZ"/>
        </w:rPr>
        <w:t>; v případě porušení tohoto zá</w:t>
      </w:r>
      <w:r w:rsidR="00A9192D" w:rsidRPr="0073136F">
        <w:rPr>
          <w:sz w:val="14"/>
          <w:lang w:val="cs-CZ"/>
        </w:rPr>
        <w:t>vazku je povinen zaplatit Co</w:t>
      </w:r>
      <w:r w:rsidR="005A07EC">
        <w:rPr>
          <w:sz w:val="14"/>
          <w:lang w:val="cs-CZ"/>
        </w:rPr>
        <w:t>face Czech odměnu ve stejné vý</w:t>
      </w:r>
      <w:r w:rsidR="00A9192D" w:rsidRPr="0073136F">
        <w:rPr>
          <w:sz w:val="14"/>
          <w:lang w:val="cs-CZ"/>
        </w:rPr>
        <w:t>ši, jako by uspokojení této pohledávky v rámci své inkasní činnosti zařídila Coface</w:t>
      </w:r>
      <w:r w:rsidR="00A9192D" w:rsidRPr="0073136F">
        <w:rPr>
          <w:spacing w:val="-17"/>
          <w:sz w:val="14"/>
          <w:lang w:val="cs-CZ"/>
        </w:rPr>
        <w:t xml:space="preserve"> </w:t>
      </w:r>
      <w:r w:rsidR="00A9192D" w:rsidRPr="0073136F">
        <w:rPr>
          <w:sz w:val="14"/>
          <w:lang w:val="cs-CZ"/>
        </w:rPr>
        <w:t>Czech.</w:t>
      </w:r>
    </w:p>
    <w:p w14:paraId="10DBE2AA" w14:textId="57E8E15B" w:rsidR="0000025D" w:rsidRPr="0073136F" w:rsidRDefault="00A9192D">
      <w:pPr>
        <w:pStyle w:val="Akapitzlist"/>
        <w:numPr>
          <w:ilvl w:val="1"/>
          <w:numId w:val="2"/>
        </w:numPr>
        <w:tabs>
          <w:tab w:val="left" w:pos="582"/>
        </w:tabs>
        <w:spacing w:before="22"/>
        <w:ind w:left="581" w:hanging="481"/>
        <w:rPr>
          <w:sz w:val="14"/>
          <w:lang w:val="cs-CZ"/>
        </w:rPr>
      </w:pPr>
      <w:r w:rsidRPr="0073136F">
        <w:rPr>
          <w:sz w:val="14"/>
          <w:lang w:val="cs-CZ"/>
        </w:rPr>
        <w:t>Klient se zavazuje, bude-li</w:t>
      </w:r>
      <w:r w:rsidR="009F0151">
        <w:rPr>
          <w:sz w:val="14"/>
          <w:lang w:val="cs-CZ"/>
        </w:rPr>
        <w:t xml:space="preserve"> o to Coface Czech požádán, ne</w:t>
      </w:r>
      <w:r w:rsidRPr="0073136F">
        <w:rPr>
          <w:sz w:val="14"/>
          <w:lang w:val="cs-CZ"/>
        </w:rPr>
        <w:t>prodleně informovat dlužníka o předání pohledávky k inkasní činnosti, jakož i o tom, že Coface Czech může prováděním inkasní činnosti pověřit třetí osobu</w:t>
      </w:r>
      <w:r w:rsidRPr="0073136F">
        <w:rPr>
          <w:spacing w:val="-29"/>
          <w:sz w:val="14"/>
          <w:lang w:val="cs-CZ"/>
        </w:rPr>
        <w:t xml:space="preserve"> </w:t>
      </w:r>
      <w:r w:rsidRPr="0073136F">
        <w:rPr>
          <w:sz w:val="14"/>
          <w:lang w:val="cs-CZ"/>
        </w:rPr>
        <w:t>(subdodavatele).</w:t>
      </w:r>
    </w:p>
    <w:p w14:paraId="5E933FAA" w14:textId="033BC3AC" w:rsidR="0000025D" w:rsidRPr="0073136F" w:rsidRDefault="00A9192D">
      <w:pPr>
        <w:pStyle w:val="Akapitzlist"/>
        <w:numPr>
          <w:ilvl w:val="1"/>
          <w:numId w:val="2"/>
        </w:numPr>
        <w:tabs>
          <w:tab w:val="left" w:pos="582"/>
        </w:tabs>
        <w:spacing w:before="22"/>
        <w:ind w:left="581" w:right="1" w:hanging="481"/>
        <w:rPr>
          <w:sz w:val="14"/>
          <w:lang w:val="cs-CZ"/>
        </w:rPr>
      </w:pPr>
      <w:r w:rsidRPr="0073136F">
        <w:rPr>
          <w:sz w:val="14"/>
          <w:lang w:val="cs-CZ"/>
        </w:rPr>
        <w:t>Klient se zavazuje spolupracovat s Co</w:t>
      </w:r>
      <w:r w:rsidR="005A07EC">
        <w:rPr>
          <w:sz w:val="14"/>
          <w:lang w:val="cs-CZ"/>
        </w:rPr>
        <w:t>face Czech po celou do</w:t>
      </w:r>
      <w:r w:rsidRPr="0073136F">
        <w:rPr>
          <w:sz w:val="14"/>
          <w:lang w:val="cs-CZ"/>
        </w:rPr>
        <w:t>bu provádění inkasní činno</w:t>
      </w:r>
      <w:r w:rsidR="005A07EC">
        <w:rPr>
          <w:sz w:val="14"/>
          <w:lang w:val="cs-CZ"/>
        </w:rPr>
        <w:t>sti a poskytovat ji vhodnou sou</w:t>
      </w:r>
      <w:r w:rsidRPr="0073136F">
        <w:rPr>
          <w:sz w:val="14"/>
          <w:lang w:val="cs-CZ"/>
        </w:rPr>
        <w:t>činnost. Klient se zavaz</w:t>
      </w:r>
      <w:r w:rsidR="005A07EC">
        <w:rPr>
          <w:sz w:val="14"/>
          <w:lang w:val="cs-CZ"/>
        </w:rPr>
        <w:t>uje předávat Coface Czech pohle</w:t>
      </w:r>
      <w:r w:rsidRPr="0073136F">
        <w:rPr>
          <w:sz w:val="14"/>
          <w:lang w:val="cs-CZ"/>
        </w:rPr>
        <w:t xml:space="preserve">dávky </w:t>
      </w:r>
      <w:r w:rsidR="005A07EC">
        <w:rPr>
          <w:sz w:val="14"/>
          <w:lang w:val="cs-CZ"/>
        </w:rPr>
        <w:t xml:space="preserve">k inkasní činnosti ve struktuře informací dohodnuté </w:t>
      </w:r>
      <w:r w:rsidRPr="0073136F">
        <w:rPr>
          <w:sz w:val="14"/>
          <w:lang w:val="cs-CZ"/>
        </w:rPr>
        <w:t>ve Smlouvě. Dále se zavazuje, že na požádání vystaví Coface Czech (nebo třetí osobě určené Coface Czech) odpovídající plnou moc a předá jí všechny potřebné doklady a</w:t>
      </w:r>
      <w:r w:rsidRPr="0073136F">
        <w:rPr>
          <w:spacing w:val="-28"/>
          <w:sz w:val="14"/>
          <w:lang w:val="cs-CZ"/>
        </w:rPr>
        <w:t xml:space="preserve"> </w:t>
      </w:r>
      <w:r w:rsidRPr="0073136F">
        <w:rPr>
          <w:sz w:val="14"/>
          <w:lang w:val="cs-CZ"/>
        </w:rPr>
        <w:t>informace.</w:t>
      </w:r>
    </w:p>
    <w:p w14:paraId="51FE4788" w14:textId="526BB916" w:rsidR="0000025D" w:rsidRPr="0073136F" w:rsidRDefault="00A9192D" w:rsidP="008B26F8">
      <w:pPr>
        <w:pStyle w:val="Akapitzlist"/>
        <w:numPr>
          <w:ilvl w:val="1"/>
          <w:numId w:val="2"/>
        </w:numPr>
        <w:tabs>
          <w:tab w:val="left" w:pos="582"/>
        </w:tabs>
        <w:spacing w:before="22" w:after="240"/>
        <w:ind w:left="584" w:hanging="482"/>
        <w:rPr>
          <w:sz w:val="14"/>
          <w:lang w:val="cs-CZ"/>
        </w:rPr>
      </w:pPr>
      <w:r w:rsidRPr="0073136F">
        <w:rPr>
          <w:sz w:val="14"/>
          <w:lang w:val="cs-CZ"/>
        </w:rPr>
        <w:t>Klient se zavazuje oznámi</w:t>
      </w:r>
      <w:r w:rsidR="005A07EC">
        <w:rPr>
          <w:sz w:val="14"/>
          <w:lang w:val="cs-CZ"/>
        </w:rPr>
        <w:t xml:space="preserve">t Coface Czech do 5 pracovních </w:t>
      </w:r>
      <w:r w:rsidRPr="0073136F">
        <w:rPr>
          <w:sz w:val="14"/>
          <w:lang w:val="cs-CZ"/>
        </w:rPr>
        <w:t>dnů, že vznikne nárok na od</w:t>
      </w:r>
      <w:r w:rsidR="005A07EC">
        <w:rPr>
          <w:sz w:val="14"/>
          <w:lang w:val="cs-CZ"/>
        </w:rPr>
        <w:t>měnu, a uvést přitom údaje nut</w:t>
      </w:r>
      <w:r w:rsidRPr="0073136F">
        <w:rPr>
          <w:sz w:val="14"/>
          <w:lang w:val="cs-CZ"/>
        </w:rPr>
        <w:t>né pro výpočet výše odměny, zejména datum plnění dlužníka a jeho výši. Výpočet výše odměny provede Coface Czech. Odměnu platí Klient v zákonné měně České republiky; jiné měny přepočítá Coface C</w:t>
      </w:r>
      <w:r w:rsidR="005A07EC">
        <w:rPr>
          <w:sz w:val="14"/>
          <w:lang w:val="cs-CZ"/>
        </w:rPr>
        <w:t>zech na zákonnou měnu České re</w:t>
      </w:r>
      <w:r w:rsidRPr="0073136F">
        <w:rPr>
          <w:sz w:val="14"/>
          <w:lang w:val="cs-CZ"/>
        </w:rPr>
        <w:t>publiky podle směnného kursu vyhlášeného pro</w:t>
      </w:r>
      <w:r w:rsidR="00D56B10">
        <w:rPr>
          <w:sz w:val="14"/>
          <w:lang w:val="cs-CZ"/>
        </w:rPr>
        <w:t xml:space="preserve"> první pracovní</w:t>
      </w:r>
      <w:r w:rsidRPr="0073136F">
        <w:rPr>
          <w:sz w:val="14"/>
          <w:lang w:val="cs-CZ"/>
        </w:rPr>
        <w:t xml:space="preserve"> den </w:t>
      </w:r>
      <w:r w:rsidR="00D56B10">
        <w:rPr>
          <w:sz w:val="14"/>
          <w:lang w:val="cs-CZ"/>
        </w:rPr>
        <w:t xml:space="preserve">měsíce, ve kterém je </w:t>
      </w:r>
      <w:r w:rsidRPr="0073136F">
        <w:rPr>
          <w:sz w:val="14"/>
          <w:lang w:val="cs-CZ"/>
        </w:rPr>
        <w:t>v</w:t>
      </w:r>
      <w:r w:rsidR="005A07EC">
        <w:rPr>
          <w:sz w:val="14"/>
          <w:lang w:val="cs-CZ"/>
        </w:rPr>
        <w:t>ysta</w:t>
      </w:r>
      <w:r w:rsidR="00D56B10">
        <w:rPr>
          <w:sz w:val="14"/>
          <w:lang w:val="cs-CZ"/>
        </w:rPr>
        <w:t>vena</w:t>
      </w:r>
      <w:r w:rsidRPr="0073136F">
        <w:rPr>
          <w:spacing w:val="-9"/>
          <w:sz w:val="14"/>
          <w:lang w:val="cs-CZ"/>
        </w:rPr>
        <w:t xml:space="preserve"> </w:t>
      </w:r>
      <w:r w:rsidR="00D56B10">
        <w:rPr>
          <w:sz w:val="14"/>
          <w:lang w:val="cs-CZ"/>
        </w:rPr>
        <w:t>faktura</w:t>
      </w:r>
      <w:r w:rsidR="00DA2EDA">
        <w:rPr>
          <w:sz w:val="14"/>
          <w:lang w:val="cs-CZ"/>
        </w:rPr>
        <w:t xml:space="preserve"> Coface Czech</w:t>
      </w:r>
      <w:r w:rsidRPr="0073136F">
        <w:rPr>
          <w:sz w:val="14"/>
          <w:lang w:val="cs-CZ"/>
        </w:rPr>
        <w:t>.</w:t>
      </w:r>
    </w:p>
    <w:p w14:paraId="230B0007" w14:textId="77777777" w:rsidR="0000025D" w:rsidRPr="0073136F" w:rsidRDefault="00A9192D">
      <w:pPr>
        <w:pStyle w:val="Nagwek1"/>
        <w:numPr>
          <w:ilvl w:val="0"/>
          <w:numId w:val="2"/>
        </w:numPr>
        <w:tabs>
          <w:tab w:val="left" w:pos="581"/>
          <w:tab w:val="left" w:pos="582"/>
        </w:tabs>
        <w:spacing w:before="41"/>
        <w:ind w:left="581" w:hanging="481"/>
        <w:rPr>
          <w:lang w:val="cs-CZ"/>
        </w:rPr>
      </w:pPr>
      <w:r w:rsidRPr="0073136F">
        <w:rPr>
          <w:color w:val="00396B"/>
          <w:lang w:val="cs-CZ"/>
        </w:rPr>
        <w:t>Odměna; Splatnost</w:t>
      </w:r>
      <w:r w:rsidRPr="0073136F">
        <w:rPr>
          <w:color w:val="00396B"/>
          <w:spacing w:val="-14"/>
          <w:lang w:val="cs-CZ"/>
        </w:rPr>
        <w:t xml:space="preserve"> </w:t>
      </w:r>
      <w:r w:rsidRPr="0073136F">
        <w:rPr>
          <w:color w:val="00396B"/>
          <w:lang w:val="cs-CZ"/>
        </w:rPr>
        <w:t>odměny</w:t>
      </w:r>
    </w:p>
    <w:p w14:paraId="780CDB4A" w14:textId="77777777" w:rsidR="0000025D" w:rsidRPr="0073136F" w:rsidRDefault="00A9192D">
      <w:pPr>
        <w:pStyle w:val="Akapitzlist"/>
        <w:numPr>
          <w:ilvl w:val="1"/>
          <w:numId w:val="2"/>
        </w:numPr>
        <w:tabs>
          <w:tab w:val="left" w:pos="582"/>
        </w:tabs>
        <w:spacing w:line="237" w:lineRule="auto"/>
        <w:ind w:left="581" w:right="1" w:hanging="481"/>
        <w:rPr>
          <w:sz w:val="14"/>
          <w:lang w:val="cs-CZ"/>
        </w:rPr>
      </w:pPr>
      <w:r w:rsidRPr="0073136F">
        <w:rPr>
          <w:sz w:val="14"/>
          <w:lang w:val="cs-CZ"/>
        </w:rPr>
        <w:t>Klient se zavazuje zaplatit Coface Czech za provádění inkasní činnosti odměnu podle</w:t>
      </w:r>
      <w:r w:rsidRPr="0073136F">
        <w:rPr>
          <w:spacing w:val="-18"/>
          <w:sz w:val="14"/>
          <w:lang w:val="cs-CZ"/>
        </w:rPr>
        <w:t xml:space="preserve"> </w:t>
      </w:r>
      <w:r w:rsidRPr="0073136F">
        <w:rPr>
          <w:sz w:val="14"/>
          <w:lang w:val="cs-CZ"/>
        </w:rPr>
        <w:t>Smlouvy.</w:t>
      </w:r>
    </w:p>
    <w:p w14:paraId="2045A26A" w14:textId="607EB2FC" w:rsidR="0000025D" w:rsidRPr="0073136F" w:rsidRDefault="00A9192D">
      <w:pPr>
        <w:pStyle w:val="Akapitzlist"/>
        <w:numPr>
          <w:ilvl w:val="1"/>
          <w:numId w:val="2"/>
        </w:numPr>
        <w:tabs>
          <w:tab w:val="left" w:pos="582"/>
        </w:tabs>
        <w:spacing w:before="21"/>
        <w:ind w:left="581" w:hanging="481"/>
        <w:rPr>
          <w:sz w:val="14"/>
          <w:lang w:val="cs-CZ"/>
        </w:rPr>
      </w:pPr>
      <w:r w:rsidRPr="0073136F">
        <w:rPr>
          <w:sz w:val="14"/>
          <w:lang w:val="cs-CZ"/>
        </w:rPr>
        <w:t>Coface Czech vystavuje faktury na odměny kumulovaně po obdržení zprávy od Klienta</w:t>
      </w:r>
      <w:r w:rsidR="00B87BD8">
        <w:rPr>
          <w:sz w:val="14"/>
          <w:lang w:val="cs-CZ"/>
        </w:rPr>
        <w:t>, že Coface Czech vznikl na od</w:t>
      </w:r>
      <w:r w:rsidRPr="0073136F">
        <w:rPr>
          <w:sz w:val="14"/>
          <w:lang w:val="cs-CZ"/>
        </w:rPr>
        <w:t xml:space="preserve">měnu </w:t>
      </w:r>
      <w:r w:rsidR="005A07EC">
        <w:rPr>
          <w:sz w:val="14"/>
          <w:lang w:val="cs-CZ"/>
        </w:rPr>
        <w:t>nárok.</w:t>
      </w:r>
    </w:p>
    <w:p w14:paraId="2A749227" w14:textId="77777777" w:rsidR="0000025D" w:rsidRPr="0073136F" w:rsidRDefault="00A9192D">
      <w:pPr>
        <w:pStyle w:val="Akapitzlist"/>
        <w:numPr>
          <w:ilvl w:val="1"/>
          <w:numId w:val="2"/>
        </w:numPr>
        <w:tabs>
          <w:tab w:val="left" w:pos="582"/>
        </w:tabs>
        <w:spacing w:before="21"/>
        <w:ind w:left="581" w:right="3" w:hanging="481"/>
        <w:rPr>
          <w:sz w:val="14"/>
          <w:lang w:val="cs-CZ"/>
        </w:rPr>
      </w:pPr>
      <w:r w:rsidRPr="0073136F">
        <w:rPr>
          <w:sz w:val="14"/>
          <w:lang w:val="cs-CZ"/>
        </w:rPr>
        <w:t>Veškeré odměny jsou ve Smlouvě uvedeny bez DPH, která bude připočtena v aktuálně platné výši. Faktury vystavené Coface Czech budou obsahovat všechny náležitosti daňového dokladu.</w:t>
      </w:r>
    </w:p>
    <w:p w14:paraId="5517AD3F" w14:textId="77777777" w:rsidR="0000025D" w:rsidRPr="0073136F" w:rsidRDefault="00A9192D">
      <w:pPr>
        <w:pStyle w:val="Akapitzlist"/>
        <w:numPr>
          <w:ilvl w:val="1"/>
          <w:numId w:val="2"/>
        </w:numPr>
        <w:tabs>
          <w:tab w:val="left" w:pos="582"/>
        </w:tabs>
        <w:spacing w:line="237" w:lineRule="auto"/>
        <w:ind w:left="581" w:right="7" w:hanging="481"/>
        <w:rPr>
          <w:sz w:val="14"/>
          <w:lang w:val="cs-CZ"/>
        </w:rPr>
      </w:pPr>
      <w:r w:rsidRPr="0073136F">
        <w:rPr>
          <w:sz w:val="14"/>
          <w:lang w:val="cs-CZ"/>
        </w:rPr>
        <w:t>Splatnost faktur činí 14 dnů ode dne jejich vystavení Coface Czech.</w:t>
      </w:r>
    </w:p>
    <w:p w14:paraId="085E23E1" w14:textId="19433E13" w:rsidR="0000025D" w:rsidRPr="0073136F" w:rsidRDefault="00A9192D" w:rsidP="008B26F8">
      <w:pPr>
        <w:pStyle w:val="Akapitzlist"/>
        <w:numPr>
          <w:ilvl w:val="1"/>
          <w:numId w:val="2"/>
        </w:numPr>
        <w:tabs>
          <w:tab w:val="left" w:pos="582"/>
        </w:tabs>
        <w:spacing w:before="21" w:after="240"/>
        <w:ind w:left="584" w:hanging="482"/>
        <w:rPr>
          <w:sz w:val="14"/>
          <w:lang w:val="cs-CZ"/>
        </w:rPr>
      </w:pPr>
      <w:r w:rsidRPr="0073136F">
        <w:rPr>
          <w:sz w:val="14"/>
          <w:lang w:val="cs-CZ"/>
        </w:rPr>
        <w:t>V případě prodlení Klienta se zaplacením od</w:t>
      </w:r>
      <w:r w:rsidR="005A07EC">
        <w:rPr>
          <w:sz w:val="14"/>
          <w:lang w:val="cs-CZ"/>
        </w:rPr>
        <w:t xml:space="preserve">měny je Coface Czech oprávněna </w:t>
      </w:r>
      <w:r w:rsidRPr="0073136F">
        <w:rPr>
          <w:sz w:val="14"/>
          <w:lang w:val="cs-CZ"/>
        </w:rPr>
        <w:t>požadovat</w:t>
      </w:r>
      <w:r w:rsidR="005A07EC">
        <w:rPr>
          <w:sz w:val="14"/>
          <w:lang w:val="cs-CZ"/>
        </w:rPr>
        <w:t xml:space="preserve"> po Klientovi zaplacení </w:t>
      </w:r>
      <w:r w:rsidRPr="0073136F">
        <w:rPr>
          <w:sz w:val="14"/>
          <w:lang w:val="cs-CZ"/>
        </w:rPr>
        <w:t>úroku z pro</w:t>
      </w:r>
      <w:r w:rsidR="005A07EC">
        <w:rPr>
          <w:sz w:val="14"/>
          <w:lang w:val="cs-CZ"/>
        </w:rPr>
        <w:t xml:space="preserve">dlení ve výši </w:t>
      </w:r>
      <w:r w:rsidR="007C61B2">
        <w:rPr>
          <w:sz w:val="14"/>
          <w:lang w:val="cs-CZ"/>
        </w:rPr>
        <w:t>0,05 %</w:t>
      </w:r>
      <w:r w:rsidR="005A07EC">
        <w:rPr>
          <w:sz w:val="14"/>
          <w:lang w:val="cs-CZ"/>
        </w:rPr>
        <w:t xml:space="preserve"> za každý den prodlení z částky, </w:t>
      </w:r>
      <w:r w:rsidRPr="0073136F">
        <w:rPr>
          <w:sz w:val="14"/>
          <w:lang w:val="cs-CZ"/>
        </w:rPr>
        <w:t>s jejímž zaplacením je Klient v</w:t>
      </w:r>
      <w:r w:rsidRPr="0073136F">
        <w:rPr>
          <w:spacing w:val="-27"/>
          <w:sz w:val="14"/>
          <w:lang w:val="cs-CZ"/>
        </w:rPr>
        <w:t xml:space="preserve"> </w:t>
      </w:r>
      <w:r w:rsidRPr="0073136F">
        <w:rPr>
          <w:sz w:val="14"/>
          <w:lang w:val="cs-CZ"/>
        </w:rPr>
        <w:t>prodlení.</w:t>
      </w:r>
    </w:p>
    <w:p w14:paraId="6500E364" w14:textId="77777777" w:rsidR="00B87BD8" w:rsidRPr="00B87BD8" w:rsidRDefault="00A9192D" w:rsidP="00B87BD8">
      <w:pPr>
        <w:pStyle w:val="Nagwek1"/>
        <w:numPr>
          <w:ilvl w:val="0"/>
          <w:numId w:val="2"/>
        </w:numPr>
        <w:tabs>
          <w:tab w:val="left" w:pos="581"/>
          <w:tab w:val="left" w:pos="582"/>
        </w:tabs>
        <w:ind w:left="581" w:hanging="481"/>
        <w:rPr>
          <w:lang w:val="cs-CZ"/>
        </w:rPr>
      </w:pPr>
      <w:r w:rsidRPr="0073136F">
        <w:rPr>
          <w:color w:val="00396B"/>
          <w:lang w:val="cs-CZ"/>
        </w:rPr>
        <w:t>Ochrana osobních</w:t>
      </w:r>
      <w:r w:rsidRPr="0073136F">
        <w:rPr>
          <w:color w:val="00396B"/>
          <w:spacing w:val="-12"/>
          <w:lang w:val="cs-CZ"/>
        </w:rPr>
        <w:t xml:space="preserve"> </w:t>
      </w:r>
      <w:r w:rsidRPr="0073136F">
        <w:rPr>
          <w:color w:val="00396B"/>
          <w:lang w:val="cs-CZ"/>
        </w:rPr>
        <w:t>údajů</w:t>
      </w:r>
    </w:p>
    <w:p w14:paraId="0E71BFB3" w14:textId="6E206DD5" w:rsidR="00CA786C" w:rsidRPr="00B87BD8" w:rsidRDefault="00CA786C" w:rsidP="00F27A4B">
      <w:pPr>
        <w:pStyle w:val="Nagwek1"/>
        <w:numPr>
          <w:ilvl w:val="1"/>
          <w:numId w:val="2"/>
        </w:numPr>
        <w:tabs>
          <w:tab w:val="left" w:pos="581"/>
          <w:tab w:val="left" w:pos="582"/>
        </w:tabs>
        <w:jc w:val="both"/>
        <w:rPr>
          <w:b w:val="0"/>
          <w:lang w:val="cs-CZ"/>
        </w:rPr>
      </w:pPr>
      <w:r w:rsidRPr="00B87BD8">
        <w:rPr>
          <w:b w:val="0"/>
          <w:lang w:val="cs-CZ"/>
        </w:rPr>
        <w:t xml:space="preserve">Skupina Coface se zavazuje k ochraně Osobních údajů ve smyslu evropských právních předpisů a nařízení týkajících se Osobních údajů, a to zejména ve smyslu Nařízení Evropského parlamentu a Rady 2016/679 ze dne 27. dubna 2016 o ochraně fyzických osob v souvislosti se zpracováním osobních údajů a o volném pohybu těchto údajů a o zrušení směrnice 95/46/ES (obecné nařízení o ochraně osobních údajů), (dále jen „GDPR“). </w:t>
      </w:r>
      <w:r w:rsidR="0073136F" w:rsidRPr="00B87BD8">
        <w:rPr>
          <w:b w:val="0"/>
          <w:lang w:val="cs-CZ"/>
        </w:rPr>
        <w:t>Všechny pojmy začínající velkými písmeny nedefinované v těchto VOP jinak, mají význam v souladu s GDPR. Jako součást skupiny Coface, Coface Czech uplatňuje právní předpisy týkající se ochrany Osobních údajů v zájmu Klienta. Vzhledem k výše uvedenému, Coface Czech informuje Klienta o následujících pravidlech týkajících se ochrany Osobních údajů, které Klient poskytuje Coface Czech za účelem uzavření a správy této Smlouvy.</w:t>
      </w:r>
    </w:p>
    <w:p w14:paraId="3CD3DEA4" w14:textId="46A5CCCE" w:rsidR="0073136F" w:rsidRDefault="00A9192D">
      <w:pPr>
        <w:pStyle w:val="Akapitzlist"/>
        <w:numPr>
          <w:ilvl w:val="1"/>
          <w:numId w:val="2"/>
        </w:numPr>
        <w:tabs>
          <w:tab w:val="left" w:pos="582"/>
        </w:tabs>
        <w:spacing w:before="19"/>
        <w:ind w:left="581" w:right="2" w:hanging="481"/>
        <w:rPr>
          <w:sz w:val="14"/>
          <w:lang w:val="cs-CZ"/>
        </w:rPr>
      </w:pPr>
      <w:r w:rsidRPr="00CA786C">
        <w:rPr>
          <w:sz w:val="14"/>
          <w:lang w:val="cs-CZ"/>
        </w:rPr>
        <w:t xml:space="preserve">Osobní údaje, které poskytne Klient podle Smlouvy, </w:t>
      </w:r>
      <w:r w:rsidR="0073136F">
        <w:rPr>
          <w:sz w:val="14"/>
          <w:lang w:val="cs-CZ"/>
        </w:rPr>
        <w:t xml:space="preserve">mohou být </w:t>
      </w:r>
      <w:r w:rsidRPr="00CA786C">
        <w:rPr>
          <w:sz w:val="14"/>
          <w:lang w:val="cs-CZ"/>
        </w:rPr>
        <w:t xml:space="preserve">použity Coface Czech </w:t>
      </w:r>
      <w:r w:rsidR="0073136F">
        <w:rPr>
          <w:sz w:val="14"/>
          <w:lang w:val="cs-CZ"/>
        </w:rPr>
        <w:t xml:space="preserve">pro účely </w:t>
      </w:r>
      <w:r w:rsidRPr="00CA786C">
        <w:rPr>
          <w:sz w:val="14"/>
          <w:lang w:val="cs-CZ"/>
        </w:rPr>
        <w:t>plnění</w:t>
      </w:r>
      <w:r w:rsidR="0073136F">
        <w:rPr>
          <w:sz w:val="14"/>
          <w:lang w:val="cs-CZ"/>
        </w:rPr>
        <w:t xml:space="preserve"> a správy Smlouvy, plnění zákonných povinností a pro účely oprávněných zájmů Coface Czech. </w:t>
      </w:r>
      <w:r w:rsidR="0073136F" w:rsidRPr="0073136F">
        <w:rPr>
          <w:sz w:val="14"/>
          <w:lang w:val="cs-CZ"/>
        </w:rPr>
        <w:t xml:space="preserve">Osobní údaje Klienta </w:t>
      </w:r>
      <w:r w:rsidR="0073136F">
        <w:rPr>
          <w:sz w:val="14"/>
          <w:lang w:val="cs-CZ"/>
        </w:rPr>
        <w:t xml:space="preserve">budou </w:t>
      </w:r>
      <w:r w:rsidR="0073136F" w:rsidRPr="0073136F">
        <w:rPr>
          <w:sz w:val="14"/>
          <w:lang w:val="cs-CZ"/>
        </w:rPr>
        <w:t>zpracovávány na právním základě uvedeném v článku 6 odst. 1 písm. b) a c) GDPR a pro účely přiměřených obchodních zájmů skupiny Coface ve smyslu článku 6 odst. 1 písm. f) GDPR.</w:t>
      </w:r>
    </w:p>
    <w:p w14:paraId="2710FE4A" w14:textId="77777777" w:rsidR="00782A4E" w:rsidRPr="00782A4E" w:rsidRDefault="00782A4E" w:rsidP="00782A4E">
      <w:pPr>
        <w:pStyle w:val="Akapitzlist"/>
        <w:numPr>
          <w:ilvl w:val="1"/>
          <w:numId w:val="2"/>
        </w:numPr>
        <w:rPr>
          <w:sz w:val="14"/>
          <w:lang w:val="cs-CZ"/>
        </w:rPr>
      </w:pPr>
      <w:r w:rsidRPr="00782A4E">
        <w:rPr>
          <w:sz w:val="14"/>
          <w:lang w:val="cs-CZ"/>
        </w:rPr>
        <w:t xml:space="preserve">Pro výše uvedené účely a pro potřeby hodnocení ratingu, řízení pohledávek, vymáhání pohledávek a podnikání skupiny Coface, stejně jako pro účely jakékoliv nové podnikatelské činnosti vyvíjené kteroukoli společností skupiny Coface, mohou být Osobní údaje poskytnuté Klientem na základě této Smlouvy zpracovávány či zpřístupňovány jiným členům skupiny Coface anebo partnerům Coface, včetně jejich přenosu mimo Evropskou unii, stejně jako zajišťovnám a zprostředkovatelům skupiny Coface a třetím stranám, které jsou poskytovateli služeb v oblasti IT a infrastruktury, služeb zákazníkům, zasílání emailů, auditorských a jiných služeb, nezávislým odborníkům a poradcům třetích stran včetně právních poradců či daňových poradců, anebo jakýchkoliv jiných osob, a to na základě výslovné dohody s Klientem, neplyne-li toto zpracovávání či zpřístupňování ze zákonných povinností anebo není-li v souladu s platnými právními předpisy. </w:t>
      </w:r>
    </w:p>
    <w:p w14:paraId="51F82603" w14:textId="77777777" w:rsidR="00782A4E" w:rsidRPr="00782A4E" w:rsidRDefault="00782A4E" w:rsidP="00782A4E">
      <w:pPr>
        <w:pStyle w:val="Akapitzlist"/>
        <w:numPr>
          <w:ilvl w:val="1"/>
          <w:numId w:val="2"/>
        </w:numPr>
        <w:rPr>
          <w:sz w:val="14"/>
          <w:lang w:val="cs-CZ"/>
        </w:rPr>
      </w:pPr>
      <w:r w:rsidRPr="00782A4E">
        <w:rPr>
          <w:sz w:val="14"/>
          <w:lang w:val="cs-CZ"/>
        </w:rPr>
        <w:t>Za účelem zabezpečení přiměřené úrovně ochrany Osobních údajů Klienta v případě jejich přenosu Příjemcem mimo EÚ/EHP, společnosti skupiny Coface uzavírají s Příjemci smlouvy obsahující standardní doložky přijaté Evropskou komisí podle článku 46 odst. 2 písm. c) GDPR. Kopii těchto smluv je možné získat od odpovědné osoby skupiny Coface.</w:t>
      </w:r>
    </w:p>
    <w:p w14:paraId="37D725B8" w14:textId="2B747D18" w:rsidR="0000025D" w:rsidRPr="00CA786C" w:rsidRDefault="00782A4E">
      <w:pPr>
        <w:pStyle w:val="Akapitzlist"/>
        <w:numPr>
          <w:ilvl w:val="1"/>
          <w:numId w:val="2"/>
        </w:numPr>
        <w:tabs>
          <w:tab w:val="left" w:pos="582"/>
        </w:tabs>
        <w:spacing w:before="19"/>
        <w:ind w:left="581" w:right="2" w:hanging="481"/>
        <w:rPr>
          <w:sz w:val="14"/>
          <w:lang w:val="cs-CZ"/>
        </w:rPr>
      </w:pPr>
      <w:r w:rsidRPr="00782A4E">
        <w:rPr>
          <w:sz w:val="14"/>
          <w:lang w:val="cs-CZ"/>
        </w:rPr>
        <w:t xml:space="preserve">Osobní údaje Klienta budou uchovávány po dobu potřebnou anebo povolenou z hlediska účelů, pro které byly získány, avšak ne delší než do uplynutí promlčecí lhůty v jakémkoliv jednání týkajícím se Smlouvy, prodloužené o dobu trvání jakéhokoliv probíhajícího soudního anebo mimosoudního sporu anebo o dobu stanovenou jakoukoliv zákonnou povinností, kterou je Coface Czech povinný plnit. Osobní údaje jiných osob včetně osobních údajů Dlužníků budou zpracovávány na právním základě uvedeném v článku 6 odst. 1 písm. b), c) a f) GDPR, přičemž budou uchovávány po stejnou dobu uchovávaní Osobních údajů, jako je uvedené výše.  </w:t>
      </w:r>
    </w:p>
    <w:p w14:paraId="53CEDB82" w14:textId="77777777" w:rsidR="00782A4E" w:rsidRPr="00782A4E" w:rsidRDefault="00782A4E" w:rsidP="00782A4E">
      <w:pPr>
        <w:pStyle w:val="Akapitzlist"/>
        <w:numPr>
          <w:ilvl w:val="1"/>
          <w:numId w:val="2"/>
        </w:numPr>
        <w:rPr>
          <w:sz w:val="14"/>
          <w:lang w:val="cs-CZ"/>
        </w:rPr>
      </w:pPr>
      <w:r w:rsidRPr="00782A4E">
        <w:rPr>
          <w:sz w:val="14"/>
          <w:lang w:val="cs-CZ"/>
        </w:rPr>
        <w:t xml:space="preserve">Jako Dotčená osoba je Klient, za podmínek stanovených GDPR anebo jakýmkoliv zvláštním právním předpisem, oprávněný požádat o přezkoumání, opravu, aktualizaci, úpravu, omezení anebo výmaz jakýchkoliv předtím poskytnutých Osobních údajů. Klient je dále oprávněn požádat o poskytnutí elektronické kopie Osobních údajů Klienta za účelem jejich přenosu do jiné společnosti za předpokladu, že právo na přenositelnost Osobních údajů Klienta je stanovené příslušnými právními předpisy. </w:t>
      </w:r>
    </w:p>
    <w:p w14:paraId="41C7F7FF" w14:textId="77777777" w:rsidR="00782A4E" w:rsidRDefault="00782A4E">
      <w:pPr>
        <w:pStyle w:val="Akapitzlist"/>
        <w:numPr>
          <w:ilvl w:val="1"/>
          <w:numId w:val="2"/>
        </w:numPr>
        <w:tabs>
          <w:tab w:val="left" w:pos="582"/>
        </w:tabs>
        <w:spacing w:before="21"/>
        <w:ind w:left="581" w:hanging="481"/>
        <w:rPr>
          <w:sz w:val="14"/>
          <w:lang w:val="cs-CZ"/>
        </w:rPr>
      </w:pPr>
      <w:r w:rsidRPr="00782A4E">
        <w:rPr>
          <w:sz w:val="14"/>
          <w:lang w:val="cs-CZ"/>
        </w:rPr>
        <w:t xml:space="preserve">Všechna </w:t>
      </w:r>
      <w:r>
        <w:rPr>
          <w:sz w:val="14"/>
          <w:lang w:val="cs-CZ"/>
        </w:rPr>
        <w:t>výše zmíněná práva</w:t>
      </w:r>
      <w:r w:rsidRPr="00782A4E">
        <w:rPr>
          <w:sz w:val="14"/>
          <w:lang w:val="cs-CZ"/>
        </w:rPr>
        <w:t xml:space="preserve"> </w:t>
      </w:r>
      <w:r>
        <w:rPr>
          <w:sz w:val="14"/>
          <w:lang w:val="cs-CZ"/>
        </w:rPr>
        <w:t>mohou být Klientem</w:t>
      </w:r>
      <w:r w:rsidRPr="00782A4E">
        <w:rPr>
          <w:sz w:val="14"/>
          <w:lang w:val="cs-CZ"/>
        </w:rPr>
        <w:t xml:space="preserve"> uplatn</w:t>
      </w:r>
      <w:r>
        <w:rPr>
          <w:sz w:val="14"/>
          <w:lang w:val="cs-CZ"/>
        </w:rPr>
        <w:t>ěna</w:t>
      </w:r>
      <w:r w:rsidRPr="00782A4E">
        <w:rPr>
          <w:sz w:val="14"/>
          <w:lang w:val="cs-CZ"/>
        </w:rPr>
        <w:t xml:space="preserve"> na e-mailových adresách</w:t>
      </w:r>
      <w:r>
        <w:rPr>
          <w:sz w:val="14"/>
          <w:lang w:val="cs-CZ"/>
        </w:rPr>
        <w:t>:</w:t>
      </w:r>
      <w:r w:rsidRPr="00782A4E">
        <w:rPr>
          <w:sz w:val="14"/>
          <w:lang w:val="cs-CZ"/>
        </w:rPr>
        <w:t xml:space="preserve"> gdpr-czech@coface.com nebo Coface_dpo@coface.com</w:t>
      </w:r>
      <w:r>
        <w:rPr>
          <w:sz w:val="14"/>
          <w:lang w:val="cs-CZ"/>
        </w:rPr>
        <w:t>,</w:t>
      </w:r>
      <w:r w:rsidRPr="00782A4E">
        <w:rPr>
          <w:sz w:val="14"/>
          <w:lang w:val="cs-CZ"/>
        </w:rPr>
        <w:t xml:space="preserve"> anebo písemně na adres</w:t>
      </w:r>
      <w:r>
        <w:rPr>
          <w:sz w:val="14"/>
          <w:lang w:val="cs-CZ"/>
        </w:rPr>
        <w:t>e</w:t>
      </w:r>
      <w:r w:rsidRPr="00782A4E">
        <w:rPr>
          <w:sz w:val="14"/>
          <w:lang w:val="cs-CZ"/>
        </w:rPr>
        <w:t xml:space="preserve"> Coface Czech, nám. I. P. Pavlova 1789/5, 120 00 Praha, Česká republika. Coface Czech odpoví na žádost Klienta v souladu s platnými právními předpisy. </w:t>
      </w:r>
    </w:p>
    <w:p w14:paraId="13750FD4" w14:textId="77777777" w:rsidR="00A94303" w:rsidRPr="00A94303" w:rsidRDefault="00782A4E" w:rsidP="00A94303">
      <w:pPr>
        <w:pStyle w:val="Akapitzlist"/>
        <w:numPr>
          <w:ilvl w:val="1"/>
          <w:numId w:val="2"/>
        </w:numPr>
        <w:tabs>
          <w:tab w:val="left" w:pos="582"/>
        </w:tabs>
        <w:spacing w:before="21"/>
        <w:ind w:left="584" w:hanging="482"/>
        <w:rPr>
          <w:sz w:val="14"/>
          <w:lang w:val="cs-CZ"/>
        </w:rPr>
      </w:pPr>
      <w:r w:rsidRPr="00782A4E">
        <w:rPr>
          <w:sz w:val="14"/>
          <w:lang w:val="cs-CZ"/>
        </w:rPr>
        <w:t xml:space="preserve">Osobní údaje, které Klient poskytnul, může Coface Czech použít </w:t>
      </w:r>
      <w:r w:rsidR="00EF6B5B">
        <w:rPr>
          <w:sz w:val="14"/>
          <w:lang w:val="cs-CZ"/>
        </w:rPr>
        <w:t>k</w:t>
      </w:r>
      <w:r w:rsidRPr="00782A4E">
        <w:rPr>
          <w:sz w:val="14"/>
          <w:lang w:val="cs-CZ"/>
        </w:rPr>
        <w:t xml:space="preserve"> propagační</w:t>
      </w:r>
      <w:r w:rsidR="00EF6B5B">
        <w:rPr>
          <w:sz w:val="14"/>
          <w:lang w:val="cs-CZ"/>
        </w:rPr>
        <w:t>m</w:t>
      </w:r>
      <w:r w:rsidRPr="00782A4E">
        <w:rPr>
          <w:sz w:val="14"/>
          <w:lang w:val="cs-CZ"/>
        </w:rPr>
        <w:t xml:space="preserve"> a marketingov</w:t>
      </w:r>
      <w:r w:rsidR="00EF6B5B">
        <w:rPr>
          <w:sz w:val="14"/>
          <w:lang w:val="cs-CZ"/>
        </w:rPr>
        <w:t>ým</w:t>
      </w:r>
      <w:r w:rsidRPr="00782A4E">
        <w:rPr>
          <w:sz w:val="14"/>
          <w:lang w:val="cs-CZ"/>
        </w:rPr>
        <w:t xml:space="preserve"> účel</w:t>
      </w:r>
      <w:r w:rsidR="00EF6B5B">
        <w:rPr>
          <w:sz w:val="14"/>
          <w:lang w:val="cs-CZ"/>
        </w:rPr>
        <w:t>ům</w:t>
      </w:r>
      <w:r w:rsidRPr="00782A4E">
        <w:rPr>
          <w:sz w:val="14"/>
          <w:lang w:val="cs-CZ"/>
        </w:rPr>
        <w:t xml:space="preserve">, například za účelem informování Klienta o nových produktech anebo o produktech Coface Czech, které poskytují členové skupiny Coface, stejně jako o všech změnách existujících produktů. Osobní údaje Klienta nebudou </w:t>
      </w:r>
      <w:r w:rsidR="00EF6B5B">
        <w:rPr>
          <w:sz w:val="14"/>
          <w:lang w:val="cs-CZ"/>
        </w:rPr>
        <w:t xml:space="preserve">za těmito účely </w:t>
      </w:r>
      <w:r w:rsidRPr="00782A4E">
        <w:rPr>
          <w:sz w:val="14"/>
          <w:lang w:val="cs-CZ"/>
        </w:rPr>
        <w:t>poskytnut</w:t>
      </w:r>
      <w:r w:rsidR="00EF6B5B">
        <w:rPr>
          <w:sz w:val="14"/>
          <w:lang w:val="cs-CZ"/>
        </w:rPr>
        <w:t>y</w:t>
      </w:r>
      <w:r w:rsidRPr="00782A4E">
        <w:rPr>
          <w:sz w:val="14"/>
          <w:lang w:val="cs-CZ"/>
        </w:rPr>
        <w:t xml:space="preserve"> třetí straně</w:t>
      </w:r>
      <w:r w:rsidR="00EF6B5B">
        <w:rPr>
          <w:sz w:val="14"/>
          <w:lang w:val="cs-CZ"/>
        </w:rPr>
        <w:t>, aniž by k tomu Klient předem dal</w:t>
      </w:r>
      <w:r w:rsidRPr="00782A4E">
        <w:rPr>
          <w:sz w:val="14"/>
          <w:lang w:val="cs-CZ"/>
        </w:rPr>
        <w:t xml:space="preserve"> výslovn</w:t>
      </w:r>
      <w:r w:rsidR="00EF6B5B">
        <w:rPr>
          <w:sz w:val="14"/>
          <w:lang w:val="cs-CZ"/>
        </w:rPr>
        <w:t>ý</w:t>
      </w:r>
      <w:r w:rsidRPr="00782A4E">
        <w:rPr>
          <w:sz w:val="14"/>
          <w:lang w:val="cs-CZ"/>
        </w:rPr>
        <w:t xml:space="preserve"> souhlas</w:t>
      </w:r>
      <w:r w:rsidR="00EF6B5B">
        <w:rPr>
          <w:sz w:val="14"/>
          <w:lang w:val="cs-CZ"/>
        </w:rPr>
        <w:t>.</w:t>
      </w:r>
      <w:r w:rsidRPr="00782A4E">
        <w:rPr>
          <w:sz w:val="14"/>
          <w:lang w:val="cs-CZ"/>
        </w:rPr>
        <w:t xml:space="preserve"> Klient má rovněž právo kdykoliv vyslovit nesouhlas s používáním svých Osobních údajů pro marketingové účely, a to na kontakt uvedený v předchozím odstavci</w:t>
      </w:r>
      <w:r w:rsidR="00EF6B5B">
        <w:rPr>
          <w:sz w:val="14"/>
          <w:lang w:val="cs-CZ"/>
        </w:rPr>
        <w:t>. Na základě tohoto vyslovení nesouhlasu</w:t>
      </w:r>
      <w:r w:rsidRPr="00782A4E">
        <w:rPr>
          <w:sz w:val="14"/>
          <w:lang w:val="cs-CZ"/>
        </w:rPr>
        <w:t xml:space="preserve"> Coface Czech okamžitě ukončí a upustí od jakéhokoliv dalšího používání Osobních údajů Klienta </w:t>
      </w:r>
      <w:r w:rsidR="00EF6B5B">
        <w:rPr>
          <w:sz w:val="14"/>
          <w:lang w:val="cs-CZ"/>
        </w:rPr>
        <w:t>pro</w:t>
      </w:r>
      <w:r w:rsidRPr="00782A4E">
        <w:rPr>
          <w:sz w:val="14"/>
          <w:lang w:val="cs-CZ"/>
        </w:rPr>
        <w:t xml:space="preserve"> tyto účely.</w:t>
      </w:r>
      <w:r w:rsidR="00255365">
        <w:rPr>
          <w:sz w:val="14"/>
          <w:lang w:val="cs-CZ"/>
        </w:rPr>
        <w:t xml:space="preserve"> </w:t>
      </w:r>
      <w:r w:rsidRPr="00255365">
        <w:rPr>
          <w:sz w:val="14"/>
          <w:lang w:val="cs-CZ"/>
        </w:rPr>
        <w:t>Pokud si K</w:t>
      </w:r>
      <w:r w:rsidR="008B26F8">
        <w:rPr>
          <w:sz w:val="14"/>
          <w:lang w:val="cs-CZ"/>
        </w:rPr>
        <w:t xml:space="preserve">lient nepřeje dostávat komerční </w:t>
      </w:r>
      <w:r w:rsidRPr="00255365">
        <w:rPr>
          <w:sz w:val="14"/>
          <w:lang w:val="cs-CZ"/>
        </w:rPr>
        <w:t>nabídky od Coface Czech a jeho partnerů, Klient zaškrtne toto políčk</w:t>
      </w:r>
      <w:r w:rsidRPr="00A94303">
        <w:rPr>
          <w:sz w:val="14"/>
          <w:lang w:val="cs-CZ"/>
        </w:rPr>
        <w:t>o</w:t>
      </w:r>
      <w:r w:rsidR="000C1AE0" w:rsidRPr="00A94303">
        <w:rPr>
          <w:sz w:val="14"/>
          <w:lang w:val="cs-CZ"/>
        </w:rPr>
        <w:t>:</w:t>
      </w:r>
    </w:p>
    <w:p w14:paraId="4FD3E7A1" w14:textId="7CF17687" w:rsidR="00255365" w:rsidRPr="000C1AE0" w:rsidRDefault="000C1AE0" w:rsidP="00A94303">
      <w:pPr>
        <w:pStyle w:val="Akapitzlist"/>
        <w:tabs>
          <w:tab w:val="left" w:pos="582"/>
        </w:tabs>
        <w:spacing w:before="21"/>
        <w:ind w:left="580" w:firstLine="0"/>
        <w:rPr>
          <w:sz w:val="14"/>
          <w:lang w:val="cs-CZ"/>
        </w:rPr>
      </w:pPr>
      <w:r w:rsidRPr="00A94303">
        <w:rPr>
          <w:sz w:val="32"/>
          <w:szCs w:val="32"/>
          <w:lang w:val="cs-CZ"/>
        </w:rPr>
        <w:t xml:space="preserve"> </w:t>
      </w:r>
      <w:r w:rsidR="008B26F8" w:rsidRPr="00A94303">
        <w:rPr>
          <w:sz w:val="32"/>
          <w:szCs w:val="32"/>
          <w:lang w:val="cs-CZ"/>
        </w:rPr>
        <w:t>□</w:t>
      </w:r>
    </w:p>
    <w:p w14:paraId="7C904DDD" w14:textId="3378570B" w:rsidR="0000025D" w:rsidRDefault="00EF6B5B">
      <w:pPr>
        <w:pStyle w:val="Akapitzlist"/>
        <w:numPr>
          <w:ilvl w:val="1"/>
          <w:numId w:val="2"/>
        </w:numPr>
        <w:tabs>
          <w:tab w:val="left" w:pos="582"/>
        </w:tabs>
        <w:spacing w:before="21"/>
        <w:ind w:left="581" w:hanging="481"/>
        <w:rPr>
          <w:sz w:val="14"/>
          <w:lang w:val="cs-CZ"/>
        </w:rPr>
      </w:pPr>
      <w:r w:rsidRPr="00EF6B5B">
        <w:rPr>
          <w:sz w:val="14"/>
          <w:lang w:val="cs-CZ"/>
        </w:rPr>
        <w:t>V případě, že Klient souhlasil s tím, aby byl Coface</w:t>
      </w:r>
      <w:r>
        <w:rPr>
          <w:sz w:val="14"/>
          <w:lang w:val="cs-CZ"/>
        </w:rPr>
        <w:t xml:space="preserve"> </w:t>
      </w:r>
      <w:r w:rsidRPr="00EF6B5B">
        <w:rPr>
          <w:sz w:val="14"/>
          <w:lang w:val="cs-CZ"/>
        </w:rPr>
        <w:t xml:space="preserve">Czech kontaktován telefonicky anebo prostřednictvím e-mailu, Coface Czech bude zpracovávat </w:t>
      </w:r>
      <w:r>
        <w:rPr>
          <w:sz w:val="14"/>
          <w:lang w:val="cs-CZ"/>
        </w:rPr>
        <w:t>pro</w:t>
      </w:r>
      <w:r w:rsidRPr="00EF6B5B">
        <w:rPr>
          <w:sz w:val="14"/>
          <w:lang w:val="cs-CZ"/>
        </w:rPr>
        <w:t xml:space="preserve"> marketingové účely Coface Czech, které jsou v souladu s oprávněnými obchodními zájmy Coface Czech podle článku 6 odst. 1 písm. f) GDPR</w:t>
      </w:r>
      <w:r>
        <w:rPr>
          <w:sz w:val="14"/>
          <w:lang w:val="cs-CZ"/>
        </w:rPr>
        <w:t xml:space="preserve">, </w:t>
      </w:r>
      <w:r w:rsidRPr="00EF6B5B">
        <w:rPr>
          <w:sz w:val="14"/>
          <w:lang w:val="cs-CZ"/>
        </w:rPr>
        <w:t>osobní kontaktní údaje Klienta (tj. jméno, příjmení, pohlaví, poštovní adresa, e-mailová adresa, telefonní čísla na pevnou linku a mobilní telefonní čísla)</w:t>
      </w:r>
      <w:r w:rsidR="00A9192D" w:rsidRPr="00CA786C">
        <w:rPr>
          <w:sz w:val="14"/>
          <w:lang w:val="cs-CZ"/>
        </w:rPr>
        <w:t>.</w:t>
      </w:r>
    </w:p>
    <w:p w14:paraId="5C3FF6A8" w14:textId="77777777" w:rsidR="00B4502F" w:rsidRDefault="00B4502F" w:rsidP="00B4502F">
      <w:pPr>
        <w:pStyle w:val="Akapitzlist"/>
        <w:tabs>
          <w:tab w:val="left" w:pos="582"/>
        </w:tabs>
        <w:spacing w:before="21"/>
        <w:ind w:firstLine="0"/>
        <w:rPr>
          <w:sz w:val="14"/>
          <w:lang w:val="cs-CZ"/>
        </w:rPr>
      </w:pPr>
    </w:p>
    <w:p w14:paraId="1CE6762E" w14:textId="77777777" w:rsidR="00B4502F" w:rsidRDefault="00B4502F" w:rsidP="00B4502F">
      <w:pPr>
        <w:pStyle w:val="Akapitzlist"/>
        <w:tabs>
          <w:tab w:val="left" w:pos="582"/>
        </w:tabs>
        <w:spacing w:before="21"/>
        <w:ind w:firstLine="0"/>
        <w:rPr>
          <w:sz w:val="14"/>
          <w:lang w:val="cs-CZ"/>
        </w:rPr>
      </w:pPr>
    </w:p>
    <w:p w14:paraId="505092CF" w14:textId="77777777" w:rsidR="00B4502F" w:rsidRDefault="00B4502F" w:rsidP="00B4502F">
      <w:pPr>
        <w:pStyle w:val="Akapitzlist"/>
        <w:tabs>
          <w:tab w:val="left" w:pos="582"/>
        </w:tabs>
        <w:spacing w:before="21"/>
        <w:ind w:firstLine="0"/>
        <w:rPr>
          <w:sz w:val="14"/>
          <w:lang w:val="cs-CZ"/>
        </w:rPr>
      </w:pPr>
    </w:p>
    <w:p w14:paraId="1CC7393D" w14:textId="3D7551BD" w:rsidR="005249D0" w:rsidRPr="00B4502F" w:rsidRDefault="005249D0" w:rsidP="00B4502F">
      <w:pPr>
        <w:pStyle w:val="Akapitzlist"/>
        <w:numPr>
          <w:ilvl w:val="1"/>
          <w:numId w:val="2"/>
        </w:numPr>
        <w:tabs>
          <w:tab w:val="left" w:pos="582"/>
        </w:tabs>
        <w:spacing w:before="0"/>
        <w:ind w:left="581" w:right="1" w:hanging="481"/>
        <w:rPr>
          <w:lang w:val="cs-CZ"/>
        </w:rPr>
      </w:pPr>
      <w:r w:rsidRPr="00B4502F">
        <w:rPr>
          <w:sz w:val="14"/>
          <w:lang w:val="cs-CZ"/>
        </w:rPr>
        <w:t xml:space="preserve">Pokud právní předpis nebo rozhodnutí a / nebo opatření vydané (přijaté) soudem či správním úřadem uloží jedné ze smluvních stran </w:t>
      </w:r>
      <w:r w:rsidRPr="00B4502F">
        <w:rPr>
          <w:sz w:val="14"/>
          <w:lang w:val="cs-CZ"/>
        </w:rPr>
        <w:lastRenderedPageBreak/>
        <w:t>osobní údaje zpřístupnit, resp. sdělit jejich obsah či význam, bude tato smluvní strana bezodkladně a komplexně informovat druhou smluvní stranu</w:t>
      </w:r>
      <w:r w:rsidRPr="00B4502F">
        <w:rPr>
          <w:spacing w:val="23"/>
          <w:sz w:val="14"/>
          <w:lang w:val="cs-CZ"/>
        </w:rPr>
        <w:t xml:space="preserve"> </w:t>
      </w:r>
      <w:r w:rsidRPr="00B4502F">
        <w:rPr>
          <w:sz w:val="14"/>
          <w:lang w:val="cs-CZ"/>
        </w:rPr>
        <w:t>nejen</w:t>
      </w:r>
      <w:r w:rsidR="00B4502F" w:rsidRPr="00B4502F">
        <w:rPr>
          <w:sz w:val="14"/>
          <w:lang w:val="cs-CZ"/>
        </w:rPr>
        <w:t xml:space="preserve"> </w:t>
      </w:r>
      <w:r w:rsidRPr="00B4502F">
        <w:rPr>
          <w:sz w:val="14"/>
          <w:szCs w:val="14"/>
          <w:lang w:val="cs-CZ"/>
        </w:rPr>
        <w:t>o takovém zpřístupnění či sdělení obsahu či významu, ale též</w:t>
      </w:r>
      <w:r w:rsidR="00B4502F">
        <w:rPr>
          <w:sz w:val="14"/>
          <w:szCs w:val="14"/>
          <w:lang w:val="cs-CZ"/>
        </w:rPr>
        <w:t xml:space="preserve"> </w:t>
      </w:r>
      <w:r w:rsidRPr="00B4502F">
        <w:rPr>
          <w:sz w:val="14"/>
          <w:szCs w:val="14"/>
          <w:lang w:val="cs-CZ"/>
        </w:rPr>
        <w:t>o všech dalších relevantních skutečnostech, které k takovému zpřístupnění či sdělení vedly, jakož i o veškerých relevantních skutečnostech, které z takového vydání či sdělení vzešly.</w:t>
      </w:r>
    </w:p>
    <w:p w14:paraId="21EBA19E" w14:textId="63444CA2" w:rsidR="005249D0" w:rsidRPr="00CA786C" w:rsidRDefault="005249D0" w:rsidP="005249D0">
      <w:pPr>
        <w:pStyle w:val="Akapitzlist"/>
        <w:numPr>
          <w:ilvl w:val="1"/>
          <w:numId w:val="2"/>
        </w:numPr>
        <w:tabs>
          <w:tab w:val="left" w:pos="581"/>
          <w:tab w:val="left" w:pos="582"/>
        </w:tabs>
        <w:spacing w:before="19"/>
        <w:ind w:left="581" w:hanging="481"/>
        <w:rPr>
          <w:sz w:val="14"/>
          <w:lang w:val="cs-CZ"/>
        </w:rPr>
      </w:pPr>
      <w:r w:rsidRPr="00CA786C">
        <w:rPr>
          <w:sz w:val="14"/>
          <w:lang w:val="cs-CZ"/>
        </w:rPr>
        <w:t xml:space="preserve">Ochrana </w:t>
      </w:r>
      <w:r>
        <w:rPr>
          <w:sz w:val="14"/>
          <w:lang w:val="cs-CZ"/>
        </w:rPr>
        <w:t>osobních údajů</w:t>
      </w:r>
      <w:r w:rsidR="00B4502F">
        <w:rPr>
          <w:spacing w:val="-37"/>
          <w:sz w:val="14"/>
          <w:lang w:val="cs-CZ"/>
        </w:rPr>
        <w:t xml:space="preserve"> </w:t>
      </w:r>
      <w:r w:rsidRPr="00CA786C">
        <w:rPr>
          <w:sz w:val="14"/>
          <w:lang w:val="cs-CZ"/>
        </w:rPr>
        <w:t>se nevztahuje na případy, kdy</w:t>
      </w:r>
    </w:p>
    <w:p w14:paraId="67A3F6AC" w14:textId="1AEE9959" w:rsidR="005249D0" w:rsidRPr="00CA786C" w:rsidRDefault="005249D0" w:rsidP="005249D0">
      <w:pPr>
        <w:pStyle w:val="Akapitzlist"/>
        <w:numPr>
          <w:ilvl w:val="2"/>
          <w:numId w:val="2"/>
        </w:numPr>
        <w:tabs>
          <w:tab w:val="left" w:pos="1122"/>
        </w:tabs>
        <w:spacing w:line="237" w:lineRule="auto"/>
        <w:ind w:left="1121" w:right="1"/>
        <w:rPr>
          <w:sz w:val="14"/>
          <w:lang w:val="cs-CZ"/>
        </w:rPr>
      </w:pPr>
      <w:r w:rsidRPr="00CA786C">
        <w:rPr>
          <w:sz w:val="14"/>
          <w:lang w:val="cs-CZ"/>
        </w:rPr>
        <w:t>smluvní strana prokáže, že je informace veřejně dostupná, aniž by tuto dostupnost neoprávněně způsobila prokazující smluvní</w:t>
      </w:r>
      <w:r w:rsidRPr="00CA786C">
        <w:rPr>
          <w:spacing w:val="-22"/>
          <w:sz w:val="14"/>
          <w:lang w:val="cs-CZ"/>
        </w:rPr>
        <w:t xml:space="preserve"> </w:t>
      </w:r>
      <w:r w:rsidRPr="00CA786C">
        <w:rPr>
          <w:sz w:val="14"/>
          <w:lang w:val="cs-CZ"/>
        </w:rPr>
        <w:t>strana;</w:t>
      </w:r>
    </w:p>
    <w:p w14:paraId="183B213E" w14:textId="77777777" w:rsidR="005249D0" w:rsidRPr="00CA786C" w:rsidRDefault="005249D0" w:rsidP="005249D0">
      <w:pPr>
        <w:pStyle w:val="Akapitzlist"/>
        <w:numPr>
          <w:ilvl w:val="2"/>
          <w:numId w:val="2"/>
        </w:numPr>
        <w:tabs>
          <w:tab w:val="left" w:pos="1122"/>
        </w:tabs>
        <w:spacing w:line="237" w:lineRule="auto"/>
        <w:ind w:left="1121" w:right="3"/>
        <w:rPr>
          <w:sz w:val="14"/>
          <w:lang w:val="cs-CZ"/>
        </w:rPr>
      </w:pPr>
      <w:r w:rsidRPr="00CA786C">
        <w:rPr>
          <w:sz w:val="14"/>
          <w:lang w:val="cs-CZ"/>
        </w:rPr>
        <w:t>smluvní strana prokáže, že měla informaci oprávněně k dispozici ještě před datem zpřístupnění druhou smluvní</w:t>
      </w:r>
      <w:r w:rsidRPr="00CA786C">
        <w:rPr>
          <w:spacing w:val="-11"/>
          <w:sz w:val="14"/>
          <w:lang w:val="cs-CZ"/>
        </w:rPr>
        <w:t xml:space="preserve"> </w:t>
      </w:r>
      <w:r w:rsidRPr="00CA786C">
        <w:rPr>
          <w:sz w:val="14"/>
          <w:lang w:val="cs-CZ"/>
        </w:rPr>
        <w:t>stranou;</w:t>
      </w:r>
    </w:p>
    <w:p w14:paraId="695809B5" w14:textId="19E33848" w:rsidR="005249D0" w:rsidRPr="005249D0" w:rsidRDefault="005249D0" w:rsidP="00A9192D">
      <w:pPr>
        <w:pStyle w:val="Akapitzlist"/>
        <w:numPr>
          <w:ilvl w:val="2"/>
          <w:numId w:val="2"/>
        </w:numPr>
        <w:tabs>
          <w:tab w:val="left" w:pos="1121"/>
        </w:tabs>
        <w:spacing w:before="0" w:line="237" w:lineRule="auto"/>
        <w:ind w:right="115"/>
        <w:rPr>
          <w:lang w:val="cs-CZ"/>
        </w:rPr>
      </w:pPr>
      <w:r w:rsidRPr="00CA786C">
        <w:rPr>
          <w:sz w:val="14"/>
          <w:lang w:val="cs-CZ"/>
        </w:rPr>
        <w:t>smluvní strana obdrží od druhé smluvní strany písemný souhlas zpřístupňovat danou</w:t>
      </w:r>
      <w:r w:rsidRPr="00CA786C">
        <w:rPr>
          <w:spacing w:val="-27"/>
          <w:sz w:val="14"/>
          <w:lang w:val="cs-CZ"/>
        </w:rPr>
        <w:t xml:space="preserve"> </w:t>
      </w:r>
      <w:r w:rsidRPr="00CA786C">
        <w:rPr>
          <w:sz w:val="14"/>
          <w:lang w:val="cs-CZ"/>
        </w:rPr>
        <w:t>informaci.</w:t>
      </w:r>
    </w:p>
    <w:p w14:paraId="71795F69" w14:textId="2A1911FB" w:rsidR="007D09AD" w:rsidRDefault="007D09AD" w:rsidP="006F15FC">
      <w:pPr>
        <w:pStyle w:val="Akapitzlist"/>
        <w:numPr>
          <w:ilvl w:val="1"/>
          <w:numId w:val="2"/>
        </w:numPr>
        <w:tabs>
          <w:tab w:val="left" w:pos="582"/>
        </w:tabs>
        <w:spacing w:before="21"/>
        <w:rPr>
          <w:sz w:val="14"/>
          <w:lang w:val="cs-CZ"/>
        </w:rPr>
      </w:pPr>
      <w:r w:rsidRPr="00EF6B5B">
        <w:rPr>
          <w:sz w:val="14"/>
          <w:lang w:val="cs-CZ"/>
        </w:rPr>
        <w:t xml:space="preserve">Zpracovatelem Osobních údajů </w:t>
      </w:r>
      <w:r>
        <w:rPr>
          <w:sz w:val="14"/>
          <w:lang w:val="cs-CZ"/>
        </w:rPr>
        <w:t>pro</w:t>
      </w:r>
      <w:r w:rsidRPr="00EF6B5B">
        <w:rPr>
          <w:sz w:val="14"/>
          <w:lang w:val="cs-CZ"/>
        </w:rPr>
        <w:t xml:space="preserve"> všech</w:t>
      </w:r>
      <w:r w:rsidR="008B26F8">
        <w:rPr>
          <w:sz w:val="14"/>
          <w:lang w:val="cs-CZ"/>
        </w:rPr>
        <w:t xml:space="preserve">ny výše uvedené účely je </w:t>
      </w:r>
      <w:r w:rsidR="006F15FC" w:rsidRPr="006F15FC">
        <w:rPr>
          <w:sz w:val="14"/>
          <w:lang w:val="cs-CZ"/>
        </w:rPr>
        <w:t>Cof</w:t>
      </w:r>
      <w:r w:rsidR="006F15FC">
        <w:rPr>
          <w:sz w:val="14"/>
          <w:lang w:val="cs-CZ"/>
        </w:rPr>
        <w:t xml:space="preserve">ace Czech Services spol. s r.o., </w:t>
      </w:r>
      <w:r w:rsidR="006F15FC" w:rsidRPr="00675D21">
        <w:rPr>
          <w:sz w:val="14"/>
          <w:lang w:val="cs-CZ"/>
        </w:rPr>
        <w:t>náměstí I. P. Pavlova 1789/5, Nové Město, 120 00 Praha 2</w:t>
      </w:r>
      <w:r w:rsidRPr="00EF6B5B">
        <w:rPr>
          <w:sz w:val="14"/>
          <w:lang w:val="cs-CZ"/>
        </w:rPr>
        <w:t>.</w:t>
      </w:r>
    </w:p>
    <w:p w14:paraId="584E263F" w14:textId="2FE96DF2" w:rsidR="007D09AD" w:rsidRPr="005249D0" w:rsidRDefault="007D09AD" w:rsidP="00EA3B1B">
      <w:pPr>
        <w:pStyle w:val="Akapitzlist"/>
        <w:numPr>
          <w:ilvl w:val="1"/>
          <w:numId w:val="2"/>
        </w:numPr>
        <w:tabs>
          <w:tab w:val="left" w:pos="582"/>
        </w:tabs>
        <w:spacing w:before="21"/>
        <w:rPr>
          <w:sz w:val="14"/>
          <w:lang w:val="cs-CZ"/>
        </w:rPr>
      </w:pPr>
      <w:r>
        <w:rPr>
          <w:sz w:val="14"/>
          <w:lang w:val="cs-CZ"/>
        </w:rPr>
        <w:t>Coface Czech v souladu s</w:t>
      </w:r>
      <w:r w:rsidRPr="007D09AD">
        <w:rPr>
          <w:sz w:val="14"/>
          <w:lang w:val="cs-CZ"/>
        </w:rPr>
        <w:t xml:space="preserve"> odd. 4 (Čl. 37 – 39)</w:t>
      </w:r>
      <w:r>
        <w:rPr>
          <w:sz w:val="14"/>
          <w:lang w:val="cs-CZ"/>
        </w:rPr>
        <w:t xml:space="preserve"> GDPR jmenovala</w:t>
      </w:r>
      <w:r w:rsidRPr="007D09AD">
        <w:rPr>
          <w:sz w:val="14"/>
          <w:lang w:val="cs-CZ"/>
        </w:rPr>
        <w:t xml:space="preserve"> Pověřence pro ochranu osobních údajů</w:t>
      </w:r>
      <w:r>
        <w:rPr>
          <w:sz w:val="14"/>
          <w:lang w:val="cs-CZ"/>
        </w:rPr>
        <w:t xml:space="preserve">, kterým je </w:t>
      </w:r>
      <w:r w:rsidRPr="007D09AD">
        <w:rPr>
          <w:sz w:val="14"/>
          <w:lang w:val="cs-CZ"/>
        </w:rPr>
        <w:t xml:space="preserve">osoba uvedená na webových stránkách </w:t>
      </w:r>
      <w:r>
        <w:rPr>
          <w:sz w:val="14"/>
          <w:lang w:val="cs-CZ"/>
        </w:rPr>
        <w:t>Coface Czech</w:t>
      </w:r>
      <w:r w:rsidRPr="007D09AD">
        <w:rPr>
          <w:sz w:val="14"/>
          <w:lang w:val="cs-CZ"/>
        </w:rPr>
        <w:t>. Pověřence (DPO) lze kontaktovat na emailové adrese:</w:t>
      </w:r>
      <w:r w:rsidR="00EA3B1B" w:rsidRPr="00EA3B1B">
        <w:t xml:space="preserve"> </w:t>
      </w:r>
      <w:r w:rsidR="00EA3B1B" w:rsidRPr="00EA3B1B">
        <w:rPr>
          <w:sz w:val="14"/>
          <w:lang w:val="cs-CZ"/>
        </w:rPr>
        <w:t>gdpr-czech@coface.com</w:t>
      </w:r>
    </w:p>
    <w:p w14:paraId="491E1654" w14:textId="77777777" w:rsidR="00EF6B5B" w:rsidRDefault="00EF6B5B" w:rsidP="00EF6B5B">
      <w:pPr>
        <w:pStyle w:val="Akapitzlist"/>
        <w:numPr>
          <w:ilvl w:val="1"/>
          <w:numId w:val="2"/>
        </w:numPr>
        <w:tabs>
          <w:tab w:val="left" w:pos="582"/>
        </w:tabs>
        <w:spacing w:before="21"/>
        <w:rPr>
          <w:sz w:val="14"/>
          <w:lang w:val="cs-CZ"/>
        </w:rPr>
      </w:pPr>
      <w:r w:rsidRPr="005249D0">
        <w:rPr>
          <w:sz w:val="14"/>
          <w:lang w:val="cs-CZ"/>
        </w:rPr>
        <w:t>V případě jakéhokoliv pochybení mají všechny osoby, jejichž Osobní údaje jsou zpracovány podle tohoto článku, právo podat stížnost dozorovému orgánu podle článku 57 odst. 1 písm. f) GDPR. Příslušným dozorovým orgánem v České republice je</w:t>
      </w:r>
      <w:r>
        <w:rPr>
          <w:sz w:val="14"/>
          <w:lang w:val="cs-CZ"/>
        </w:rPr>
        <w:t xml:space="preserve"> </w:t>
      </w:r>
      <w:r w:rsidRPr="005249D0">
        <w:rPr>
          <w:sz w:val="14"/>
          <w:lang w:val="cs-CZ"/>
        </w:rPr>
        <w:t>Úřad pro ochranu osobních údajů</w:t>
      </w:r>
      <w:r>
        <w:rPr>
          <w:sz w:val="14"/>
          <w:lang w:val="cs-CZ"/>
        </w:rPr>
        <w:t>,</w:t>
      </w:r>
      <w:r w:rsidRPr="005249D0">
        <w:rPr>
          <w:sz w:val="14"/>
          <w:lang w:val="cs-CZ"/>
        </w:rPr>
        <w:t xml:space="preserve"> Pplk. Sochora 27, 170 00 Praha 7, telefon: +420 234 665 800, e-mail: posta@uoou.cz. </w:t>
      </w:r>
    </w:p>
    <w:p w14:paraId="224B6D62" w14:textId="77777777" w:rsidR="005249D0" w:rsidRPr="005249D0" w:rsidRDefault="005249D0" w:rsidP="008B26F8">
      <w:pPr>
        <w:pStyle w:val="Akapitzlist"/>
        <w:numPr>
          <w:ilvl w:val="1"/>
          <w:numId w:val="2"/>
        </w:numPr>
        <w:tabs>
          <w:tab w:val="left" w:pos="582"/>
        </w:tabs>
        <w:spacing w:before="21" w:after="240"/>
        <w:ind w:left="584" w:hanging="482"/>
        <w:rPr>
          <w:sz w:val="14"/>
          <w:lang w:val="cs-CZ"/>
        </w:rPr>
      </w:pPr>
      <w:r w:rsidRPr="005249D0">
        <w:rPr>
          <w:sz w:val="14"/>
          <w:lang w:val="cs-CZ"/>
        </w:rPr>
        <w:t xml:space="preserve">Na stránkách </w:t>
      </w:r>
      <w:r>
        <w:rPr>
          <w:sz w:val="14"/>
          <w:lang w:val="cs-CZ"/>
        </w:rPr>
        <w:t>Coface Czech</w:t>
      </w:r>
      <w:r w:rsidRPr="005249D0">
        <w:rPr>
          <w:sz w:val="14"/>
          <w:lang w:val="cs-CZ"/>
        </w:rPr>
        <w:t xml:space="preserve"> www.</w:t>
      </w:r>
      <w:r>
        <w:rPr>
          <w:sz w:val="14"/>
          <w:lang w:val="cs-CZ"/>
        </w:rPr>
        <w:t>coface</w:t>
      </w:r>
      <w:r w:rsidRPr="005249D0">
        <w:rPr>
          <w:sz w:val="14"/>
          <w:lang w:val="cs-CZ"/>
        </w:rPr>
        <w:t xml:space="preserve">.cz </w:t>
      </w:r>
      <w:r>
        <w:rPr>
          <w:sz w:val="14"/>
          <w:lang w:val="cs-CZ"/>
        </w:rPr>
        <w:t>Klient</w:t>
      </w:r>
      <w:r w:rsidRPr="005249D0">
        <w:rPr>
          <w:sz w:val="14"/>
          <w:lang w:val="cs-CZ"/>
        </w:rPr>
        <w:t xml:space="preserve"> nalezne </w:t>
      </w:r>
      <w:r>
        <w:rPr>
          <w:sz w:val="14"/>
          <w:lang w:val="cs-CZ"/>
        </w:rPr>
        <w:t>Obecné informace o zpracování osobních údajů společností Coface</w:t>
      </w:r>
      <w:r w:rsidRPr="005249D0">
        <w:rPr>
          <w:sz w:val="14"/>
          <w:lang w:val="cs-CZ"/>
        </w:rPr>
        <w:t>, kde jsou veškeré podrobné informace.</w:t>
      </w:r>
    </w:p>
    <w:p w14:paraId="29CD6415" w14:textId="77777777" w:rsidR="0000025D" w:rsidRPr="00CA786C" w:rsidRDefault="00A9192D">
      <w:pPr>
        <w:pStyle w:val="Nagwek1"/>
        <w:numPr>
          <w:ilvl w:val="0"/>
          <w:numId w:val="2"/>
        </w:numPr>
        <w:tabs>
          <w:tab w:val="left" w:pos="580"/>
          <w:tab w:val="left" w:pos="581"/>
        </w:tabs>
        <w:spacing w:before="38"/>
        <w:ind w:left="580" w:hanging="480"/>
        <w:rPr>
          <w:lang w:val="cs-CZ"/>
        </w:rPr>
      </w:pPr>
      <w:r w:rsidRPr="00CA786C">
        <w:rPr>
          <w:color w:val="00396B"/>
          <w:lang w:val="cs-CZ"/>
        </w:rPr>
        <w:t>Komunikace; Kontaktní</w:t>
      </w:r>
      <w:r w:rsidRPr="00CA786C">
        <w:rPr>
          <w:color w:val="00396B"/>
          <w:spacing w:val="-18"/>
          <w:lang w:val="cs-CZ"/>
        </w:rPr>
        <w:t xml:space="preserve"> </w:t>
      </w:r>
      <w:r w:rsidRPr="00CA786C">
        <w:rPr>
          <w:color w:val="00396B"/>
          <w:lang w:val="cs-CZ"/>
        </w:rPr>
        <w:t>adresy</w:t>
      </w:r>
    </w:p>
    <w:p w14:paraId="478530A0" w14:textId="087393EC" w:rsidR="0000025D" w:rsidRPr="00CA786C" w:rsidRDefault="00A9192D" w:rsidP="00393457">
      <w:pPr>
        <w:pStyle w:val="Akapitzlist"/>
        <w:numPr>
          <w:ilvl w:val="1"/>
          <w:numId w:val="2"/>
        </w:numPr>
        <w:tabs>
          <w:tab w:val="left" w:pos="581"/>
        </w:tabs>
        <w:spacing w:before="22"/>
        <w:ind w:right="116"/>
        <w:rPr>
          <w:sz w:val="14"/>
          <w:lang w:val="cs-CZ"/>
        </w:rPr>
      </w:pPr>
      <w:r w:rsidRPr="00CA786C">
        <w:rPr>
          <w:sz w:val="14"/>
          <w:lang w:val="cs-CZ"/>
        </w:rPr>
        <w:t>Písemnosti Klient doručuje Coface Czech na</w:t>
      </w:r>
      <w:r w:rsidR="00393457">
        <w:rPr>
          <w:sz w:val="14"/>
          <w:lang w:val="cs-CZ"/>
        </w:rPr>
        <w:t xml:space="preserve"> adresu jejího sídla uvedenou </w:t>
      </w:r>
      <w:r w:rsidRPr="00CA786C">
        <w:rPr>
          <w:sz w:val="14"/>
          <w:lang w:val="cs-CZ"/>
        </w:rPr>
        <w:t xml:space="preserve">v záhlaví těchto </w:t>
      </w:r>
      <w:r w:rsidR="00C401A6">
        <w:rPr>
          <w:sz w:val="14"/>
          <w:lang w:val="cs-CZ"/>
        </w:rPr>
        <w:t>VOP</w:t>
      </w:r>
      <w:r>
        <w:rPr>
          <w:sz w:val="14"/>
          <w:lang w:val="cs-CZ"/>
        </w:rPr>
        <w:t>,</w:t>
      </w:r>
      <w:r w:rsidRPr="00CA786C">
        <w:rPr>
          <w:sz w:val="14"/>
          <w:lang w:val="cs-CZ"/>
        </w:rPr>
        <w:t xml:space="preserve"> v</w:t>
      </w:r>
      <w:r>
        <w:rPr>
          <w:sz w:val="14"/>
          <w:lang w:val="cs-CZ"/>
        </w:rPr>
        <w:t> </w:t>
      </w:r>
      <w:r w:rsidRPr="00CA786C">
        <w:rPr>
          <w:sz w:val="14"/>
          <w:lang w:val="cs-CZ"/>
        </w:rPr>
        <w:t>elektronické</w:t>
      </w:r>
      <w:r>
        <w:rPr>
          <w:sz w:val="14"/>
          <w:lang w:val="cs-CZ"/>
        </w:rPr>
        <w:t xml:space="preserve"> </w:t>
      </w:r>
      <w:r w:rsidRPr="00CA786C">
        <w:rPr>
          <w:sz w:val="14"/>
          <w:lang w:val="cs-CZ"/>
        </w:rPr>
        <w:t>formě (podepsání zprávy zaručeným elektronickým podpisem se nevyžaduje) na emailovou adresu</w:t>
      </w:r>
      <w:r w:rsidR="002259A1">
        <w:rPr>
          <w:sz w:val="14"/>
          <w:lang w:val="cs-CZ"/>
        </w:rPr>
        <w:t xml:space="preserve"> </w:t>
      </w:r>
      <w:r w:rsidR="002259A1" w:rsidRPr="002259A1">
        <w:rPr>
          <w:b/>
          <w:bCs/>
          <w:color w:val="1F497D" w:themeColor="text2"/>
          <w:sz w:val="14"/>
          <w:lang w:val="cs-CZ"/>
        </w:rPr>
        <w:t>inkaso_cz@coface.com</w:t>
      </w:r>
      <w:r w:rsidR="00393457" w:rsidRPr="002259A1">
        <w:rPr>
          <w:color w:val="1F497D" w:themeColor="text2"/>
          <w:sz w:val="14"/>
          <w:lang w:val="cs-CZ"/>
        </w:rPr>
        <w:t xml:space="preserve"> </w:t>
      </w:r>
      <w:r w:rsidRPr="00CA786C">
        <w:rPr>
          <w:sz w:val="14"/>
          <w:lang w:val="cs-CZ"/>
        </w:rPr>
        <w:t>nebo v</w:t>
      </w:r>
      <w:r w:rsidR="00393457">
        <w:rPr>
          <w:sz w:val="14"/>
          <w:lang w:val="cs-CZ"/>
        </w:rPr>
        <w:t>yplněním údajů v on-line aplikaci</w:t>
      </w:r>
      <w:r w:rsidRPr="00CA786C">
        <w:rPr>
          <w:sz w:val="14"/>
          <w:lang w:val="cs-CZ"/>
        </w:rPr>
        <w:t xml:space="preserve"> Coface </w:t>
      </w:r>
      <w:r w:rsidR="00393457">
        <w:rPr>
          <w:sz w:val="14"/>
          <w:lang w:val="cs-CZ"/>
        </w:rPr>
        <w:t xml:space="preserve">pod příslušným odkazem na </w:t>
      </w:r>
      <w:r w:rsidR="00393457" w:rsidRPr="002259A1">
        <w:rPr>
          <w:sz w:val="14"/>
          <w:highlight w:val="yellow"/>
          <w:lang w:val="cs-CZ"/>
        </w:rPr>
        <w:t xml:space="preserve">webu </w:t>
      </w:r>
      <w:hyperlink r:id="rId11" w:history="1">
        <w:r w:rsidR="002259A1" w:rsidRPr="00C17C93">
          <w:rPr>
            <w:rStyle w:val="Hipercze"/>
            <w:sz w:val="14"/>
            <w:highlight w:val="yellow"/>
            <w:lang w:val="cs-CZ"/>
          </w:rPr>
          <w:t>www.coface.cz</w:t>
        </w:r>
      </w:hyperlink>
      <w:r w:rsidR="00393457">
        <w:rPr>
          <w:sz w:val="14"/>
          <w:lang w:val="cs-CZ"/>
        </w:rPr>
        <w:t xml:space="preserve"> (pro Klienty, kterým byl zřízen přístup do online aplikace). </w:t>
      </w:r>
    </w:p>
    <w:p w14:paraId="5BA75067" w14:textId="77777777" w:rsidR="0000025D" w:rsidRPr="00CA786C" w:rsidRDefault="00A9192D">
      <w:pPr>
        <w:pStyle w:val="Akapitzlist"/>
        <w:numPr>
          <w:ilvl w:val="1"/>
          <w:numId w:val="2"/>
        </w:numPr>
        <w:tabs>
          <w:tab w:val="left" w:pos="581"/>
        </w:tabs>
        <w:spacing w:line="237" w:lineRule="auto"/>
        <w:ind w:right="116"/>
        <w:rPr>
          <w:sz w:val="14"/>
          <w:lang w:val="cs-CZ"/>
        </w:rPr>
      </w:pPr>
      <w:r w:rsidRPr="00CA786C">
        <w:rPr>
          <w:sz w:val="14"/>
          <w:lang w:val="cs-CZ"/>
        </w:rPr>
        <w:t>Coface Czech doručuje Klientovi na adresu a způsoby uvedenými ve</w:t>
      </w:r>
      <w:r w:rsidRPr="00CA786C">
        <w:rPr>
          <w:spacing w:val="-12"/>
          <w:sz w:val="14"/>
          <w:lang w:val="cs-CZ"/>
        </w:rPr>
        <w:t xml:space="preserve"> </w:t>
      </w:r>
      <w:r w:rsidRPr="00CA786C">
        <w:rPr>
          <w:sz w:val="14"/>
          <w:lang w:val="cs-CZ"/>
        </w:rPr>
        <w:t>Smlouvě.</w:t>
      </w:r>
    </w:p>
    <w:p w14:paraId="5347EEA8" w14:textId="1A675EAB" w:rsidR="0000025D" w:rsidRPr="00A9192D" w:rsidRDefault="00A9192D" w:rsidP="00883E4D">
      <w:pPr>
        <w:pStyle w:val="Akapitzlist"/>
        <w:numPr>
          <w:ilvl w:val="1"/>
          <w:numId w:val="2"/>
        </w:numPr>
        <w:tabs>
          <w:tab w:val="left" w:pos="581"/>
        </w:tabs>
        <w:spacing w:after="240" w:line="238" w:lineRule="auto"/>
        <w:ind w:left="584" w:right="119" w:hanging="482"/>
        <w:rPr>
          <w:lang w:val="cs-CZ"/>
        </w:rPr>
      </w:pPr>
      <w:r w:rsidRPr="00CA786C">
        <w:rPr>
          <w:sz w:val="14"/>
          <w:lang w:val="cs-CZ"/>
        </w:rPr>
        <w:t>Každá ze smluvních stran může písemně oznámit druhé smluvní straně změnu své kontaktní adresy. Ke změně dochází</w:t>
      </w:r>
      <w:r w:rsidRPr="00CA786C">
        <w:rPr>
          <w:spacing w:val="20"/>
          <w:sz w:val="14"/>
          <w:lang w:val="cs-CZ"/>
        </w:rPr>
        <w:t xml:space="preserve"> </w:t>
      </w:r>
      <w:r w:rsidRPr="00CA786C">
        <w:rPr>
          <w:sz w:val="14"/>
          <w:lang w:val="cs-CZ"/>
        </w:rPr>
        <w:t>dnem</w:t>
      </w:r>
      <w:r w:rsidRPr="00CA786C">
        <w:rPr>
          <w:spacing w:val="21"/>
          <w:sz w:val="14"/>
          <w:lang w:val="cs-CZ"/>
        </w:rPr>
        <w:t xml:space="preserve"> </w:t>
      </w:r>
      <w:r w:rsidRPr="00CA786C">
        <w:rPr>
          <w:sz w:val="14"/>
          <w:lang w:val="cs-CZ"/>
        </w:rPr>
        <w:t>uvedeným</w:t>
      </w:r>
      <w:r w:rsidRPr="00CA786C">
        <w:rPr>
          <w:spacing w:val="21"/>
          <w:sz w:val="14"/>
          <w:lang w:val="cs-CZ"/>
        </w:rPr>
        <w:t xml:space="preserve"> </w:t>
      </w:r>
      <w:r w:rsidRPr="00CA786C">
        <w:rPr>
          <w:sz w:val="14"/>
          <w:lang w:val="cs-CZ"/>
        </w:rPr>
        <w:t>v</w:t>
      </w:r>
      <w:r w:rsidRPr="00CA786C">
        <w:rPr>
          <w:spacing w:val="21"/>
          <w:sz w:val="14"/>
          <w:lang w:val="cs-CZ"/>
        </w:rPr>
        <w:t xml:space="preserve"> </w:t>
      </w:r>
      <w:r w:rsidRPr="00CA786C">
        <w:rPr>
          <w:sz w:val="14"/>
          <w:lang w:val="cs-CZ"/>
        </w:rPr>
        <w:t>oznámení,</w:t>
      </w:r>
      <w:r w:rsidRPr="00CA786C">
        <w:rPr>
          <w:spacing w:val="22"/>
          <w:sz w:val="14"/>
          <w:lang w:val="cs-CZ"/>
        </w:rPr>
        <w:t xml:space="preserve"> </w:t>
      </w:r>
      <w:r w:rsidRPr="00CA786C">
        <w:rPr>
          <w:sz w:val="14"/>
          <w:lang w:val="cs-CZ"/>
        </w:rPr>
        <w:t>nikoli</w:t>
      </w:r>
      <w:r w:rsidRPr="00CA786C">
        <w:rPr>
          <w:spacing w:val="20"/>
          <w:sz w:val="14"/>
          <w:lang w:val="cs-CZ"/>
        </w:rPr>
        <w:t xml:space="preserve"> </w:t>
      </w:r>
      <w:r w:rsidRPr="00CA786C">
        <w:rPr>
          <w:sz w:val="14"/>
          <w:lang w:val="cs-CZ"/>
        </w:rPr>
        <w:t>však</w:t>
      </w:r>
      <w:r w:rsidRPr="00CA786C">
        <w:rPr>
          <w:spacing w:val="21"/>
          <w:sz w:val="14"/>
          <w:lang w:val="cs-CZ"/>
        </w:rPr>
        <w:t xml:space="preserve"> </w:t>
      </w:r>
      <w:r w:rsidRPr="00CA786C">
        <w:rPr>
          <w:sz w:val="14"/>
          <w:lang w:val="cs-CZ"/>
        </w:rPr>
        <w:t>dříve</w:t>
      </w:r>
      <w:r w:rsidRPr="00CA786C">
        <w:rPr>
          <w:spacing w:val="23"/>
          <w:sz w:val="14"/>
          <w:lang w:val="cs-CZ"/>
        </w:rPr>
        <w:t xml:space="preserve"> </w:t>
      </w:r>
      <w:r w:rsidRPr="00CA786C">
        <w:rPr>
          <w:sz w:val="14"/>
          <w:lang w:val="cs-CZ"/>
        </w:rPr>
        <w:t>než</w:t>
      </w:r>
      <w:r>
        <w:rPr>
          <w:sz w:val="14"/>
          <w:lang w:val="cs-CZ"/>
        </w:rPr>
        <w:t xml:space="preserve"> 5 pracovních </w:t>
      </w:r>
      <w:r w:rsidRPr="00A9192D">
        <w:rPr>
          <w:sz w:val="14"/>
          <w:szCs w:val="14"/>
          <w:lang w:val="cs-CZ"/>
        </w:rPr>
        <w:t>dnů po doručení oznámení změny druhé smluvní straně. Kontaktní adresa se musí nacházet na území České republiky. Stejně budou smluvní strany postupovat při změně bankovních spojení a ro</w:t>
      </w:r>
      <w:r w:rsidR="00393457">
        <w:rPr>
          <w:sz w:val="14"/>
          <w:szCs w:val="14"/>
          <w:lang w:val="cs-CZ"/>
        </w:rPr>
        <w:t xml:space="preserve">vněž při změnách svých on-line a </w:t>
      </w:r>
      <w:r w:rsidRPr="00A9192D">
        <w:rPr>
          <w:sz w:val="14"/>
          <w:szCs w:val="14"/>
          <w:lang w:val="cs-CZ"/>
        </w:rPr>
        <w:t>e-mailových</w:t>
      </w:r>
      <w:r w:rsidR="00393457">
        <w:rPr>
          <w:sz w:val="14"/>
          <w:szCs w:val="14"/>
          <w:lang w:val="cs-CZ"/>
        </w:rPr>
        <w:t xml:space="preserve"> kontaktů</w:t>
      </w:r>
      <w:r w:rsidRPr="00A9192D">
        <w:rPr>
          <w:sz w:val="14"/>
          <w:szCs w:val="14"/>
          <w:lang w:val="cs-CZ"/>
        </w:rPr>
        <w:t>.</w:t>
      </w:r>
    </w:p>
    <w:p w14:paraId="099B8916" w14:textId="77777777" w:rsidR="0000025D" w:rsidRPr="00CA786C" w:rsidRDefault="00A9192D">
      <w:pPr>
        <w:pStyle w:val="Nagwek1"/>
        <w:numPr>
          <w:ilvl w:val="0"/>
          <w:numId w:val="2"/>
        </w:numPr>
        <w:tabs>
          <w:tab w:val="left" w:pos="580"/>
          <w:tab w:val="left" w:pos="581"/>
        </w:tabs>
        <w:ind w:left="580" w:hanging="480"/>
        <w:rPr>
          <w:lang w:val="cs-CZ"/>
        </w:rPr>
      </w:pPr>
      <w:r w:rsidRPr="00CA786C">
        <w:rPr>
          <w:color w:val="00396B"/>
          <w:lang w:val="cs-CZ"/>
        </w:rPr>
        <w:t>Trvání</w:t>
      </w:r>
      <w:r w:rsidRPr="00CA786C">
        <w:rPr>
          <w:color w:val="00396B"/>
          <w:spacing w:val="-7"/>
          <w:lang w:val="cs-CZ"/>
        </w:rPr>
        <w:t xml:space="preserve"> </w:t>
      </w:r>
      <w:r w:rsidRPr="00CA786C">
        <w:rPr>
          <w:color w:val="00396B"/>
          <w:lang w:val="cs-CZ"/>
        </w:rPr>
        <w:t>Smlouvy</w:t>
      </w:r>
    </w:p>
    <w:p w14:paraId="2EE6D39B" w14:textId="77777777" w:rsidR="0000025D" w:rsidRPr="00CA786C" w:rsidRDefault="00A9192D">
      <w:pPr>
        <w:pStyle w:val="Akapitzlist"/>
        <w:numPr>
          <w:ilvl w:val="1"/>
          <w:numId w:val="2"/>
        </w:numPr>
        <w:tabs>
          <w:tab w:val="left" w:pos="580"/>
          <w:tab w:val="left" w:pos="581"/>
        </w:tabs>
        <w:spacing w:before="21"/>
        <w:rPr>
          <w:sz w:val="14"/>
          <w:lang w:val="cs-CZ"/>
        </w:rPr>
      </w:pPr>
      <w:r w:rsidRPr="00CA786C">
        <w:rPr>
          <w:sz w:val="14"/>
          <w:lang w:val="cs-CZ"/>
        </w:rPr>
        <w:t>Smlouva se uzavírá na dobu</w:t>
      </w:r>
      <w:r w:rsidRPr="00CA786C">
        <w:rPr>
          <w:spacing w:val="-22"/>
          <w:sz w:val="14"/>
          <w:lang w:val="cs-CZ"/>
        </w:rPr>
        <w:t xml:space="preserve"> </w:t>
      </w:r>
      <w:r w:rsidRPr="00CA786C">
        <w:rPr>
          <w:sz w:val="14"/>
          <w:lang w:val="cs-CZ"/>
        </w:rPr>
        <w:t>neurčitou.</w:t>
      </w:r>
    </w:p>
    <w:p w14:paraId="6850A724" w14:textId="4E1CC4DA" w:rsidR="0000025D" w:rsidRPr="00CA786C" w:rsidRDefault="00A9192D" w:rsidP="00883E4D">
      <w:pPr>
        <w:pStyle w:val="Akapitzlist"/>
        <w:numPr>
          <w:ilvl w:val="1"/>
          <w:numId w:val="2"/>
        </w:numPr>
        <w:tabs>
          <w:tab w:val="left" w:pos="581"/>
        </w:tabs>
        <w:spacing w:before="19" w:after="240"/>
        <w:ind w:left="584" w:right="113" w:hanging="482"/>
        <w:rPr>
          <w:sz w:val="14"/>
          <w:lang w:val="cs-CZ"/>
        </w:rPr>
      </w:pPr>
      <w:r w:rsidRPr="00CA786C">
        <w:rPr>
          <w:sz w:val="14"/>
          <w:lang w:val="cs-CZ"/>
        </w:rPr>
        <w:t>Každá z</w:t>
      </w:r>
      <w:r w:rsidR="00393457">
        <w:rPr>
          <w:sz w:val="14"/>
          <w:lang w:val="cs-CZ"/>
        </w:rPr>
        <w:t xml:space="preserve">e smluvních stran může Smlouvu </w:t>
      </w:r>
      <w:r w:rsidRPr="00CA786C">
        <w:rPr>
          <w:sz w:val="14"/>
          <w:lang w:val="cs-CZ"/>
        </w:rPr>
        <w:t>písemně vypovědět; výpovědní doba je dvouměsíční a počíná běžet prvního dne kalend</w:t>
      </w:r>
      <w:r w:rsidR="00393457">
        <w:rPr>
          <w:sz w:val="14"/>
          <w:lang w:val="cs-CZ"/>
        </w:rPr>
        <w:t xml:space="preserve">ářního měsíce, který následuje </w:t>
      </w:r>
      <w:r w:rsidRPr="00CA786C">
        <w:rPr>
          <w:sz w:val="14"/>
          <w:lang w:val="cs-CZ"/>
        </w:rPr>
        <w:t>po doručení výpovědi druhé smluvní straně. Vypovězením Smlouvy Klientem není dotčen jeho závazek zaplatit Coface Czech</w:t>
      </w:r>
      <w:r w:rsidRPr="00CA786C">
        <w:rPr>
          <w:spacing w:val="-11"/>
          <w:sz w:val="14"/>
          <w:lang w:val="cs-CZ"/>
        </w:rPr>
        <w:t xml:space="preserve"> </w:t>
      </w:r>
      <w:r w:rsidRPr="00CA786C">
        <w:rPr>
          <w:sz w:val="14"/>
          <w:lang w:val="cs-CZ"/>
        </w:rPr>
        <w:t>odměnu.</w:t>
      </w:r>
    </w:p>
    <w:p w14:paraId="7928F501" w14:textId="77777777" w:rsidR="0000025D" w:rsidRPr="00CA786C" w:rsidRDefault="00A9192D">
      <w:pPr>
        <w:pStyle w:val="Nagwek1"/>
        <w:numPr>
          <w:ilvl w:val="0"/>
          <w:numId w:val="2"/>
        </w:numPr>
        <w:tabs>
          <w:tab w:val="left" w:pos="580"/>
          <w:tab w:val="left" w:pos="581"/>
        </w:tabs>
        <w:ind w:left="580" w:hanging="480"/>
        <w:rPr>
          <w:lang w:val="cs-CZ"/>
        </w:rPr>
      </w:pPr>
      <w:r w:rsidRPr="00CA786C">
        <w:rPr>
          <w:color w:val="00396B"/>
          <w:lang w:val="cs-CZ"/>
        </w:rPr>
        <w:t>Rozhodné právo;</w:t>
      </w:r>
      <w:r w:rsidRPr="00CA786C">
        <w:rPr>
          <w:color w:val="00396B"/>
          <w:spacing w:val="-10"/>
          <w:lang w:val="cs-CZ"/>
        </w:rPr>
        <w:t xml:space="preserve"> </w:t>
      </w:r>
      <w:r w:rsidRPr="00CA786C">
        <w:rPr>
          <w:color w:val="00396B"/>
          <w:lang w:val="cs-CZ"/>
        </w:rPr>
        <w:t>Spory</w:t>
      </w:r>
    </w:p>
    <w:p w14:paraId="334C1AE7" w14:textId="0AE9F113" w:rsidR="0000025D" w:rsidRPr="00CA786C" w:rsidRDefault="00A9192D">
      <w:pPr>
        <w:pStyle w:val="Akapitzlist"/>
        <w:numPr>
          <w:ilvl w:val="1"/>
          <w:numId w:val="2"/>
        </w:numPr>
        <w:tabs>
          <w:tab w:val="left" w:pos="581"/>
        </w:tabs>
        <w:spacing w:before="18"/>
        <w:ind w:right="117"/>
        <w:rPr>
          <w:sz w:val="14"/>
          <w:lang w:val="cs-CZ"/>
        </w:rPr>
      </w:pPr>
      <w:r w:rsidRPr="00CA786C">
        <w:rPr>
          <w:sz w:val="14"/>
          <w:lang w:val="cs-CZ"/>
        </w:rPr>
        <w:t>Uzavření, platnost a plnění / porušení Smlouvy (včetně jejích případných dodat</w:t>
      </w:r>
      <w:r w:rsidR="00393457">
        <w:rPr>
          <w:sz w:val="14"/>
          <w:lang w:val="cs-CZ"/>
        </w:rPr>
        <w:t xml:space="preserve">ků), jakož i celý právní vztah </w:t>
      </w:r>
      <w:r w:rsidRPr="00CA786C">
        <w:rPr>
          <w:sz w:val="14"/>
          <w:lang w:val="cs-CZ"/>
        </w:rPr>
        <w:t>smluvních stran podléhající Smlouvě (včetně jejích případných dodatků), se řídí právním řádem České</w:t>
      </w:r>
      <w:r w:rsidRPr="00CA786C">
        <w:rPr>
          <w:spacing w:val="-31"/>
          <w:sz w:val="14"/>
          <w:lang w:val="cs-CZ"/>
        </w:rPr>
        <w:t xml:space="preserve"> </w:t>
      </w:r>
      <w:r w:rsidRPr="00CA786C">
        <w:rPr>
          <w:sz w:val="14"/>
          <w:lang w:val="cs-CZ"/>
        </w:rPr>
        <w:t>republiky.</w:t>
      </w:r>
    </w:p>
    <w:p w14:paraId="09B0ED5B" w14:textId="540AE818" w:rsidR="0000025D" w:rsidRPr="00CA786C" w:rsidRDefault="00A9192D" w:rsidP="00883E4D">
      <w:pPr>
        <w:pStyle w:val="Akapitzlist"/>
        <w:numPr>
          <w:ilvl w:val="1"/>
          <w:numId w:val="2"/>
        </w:numPr>
        <w:tabs>
          <w:tab w:val="left" w:pos="581"/>
        </w:tabs>
        <w:spacing w:before="21" w:after="240"/>
        <w:ind w:left="584" w:right="119" w:hanging="482"/>
        <w:rPr>
          <w:sz w:val="14"/>
          <w:lang w:val="cs-CZ"/>
        </w:rPr>
      </w:pPr>
      <w:r w:rsidRPr="00CA786C">
        <w:rPr>
          <w:sz w:val="14"/>
          <w:lang w:val="cs-CZ"/>
        </w:rPr>
        <w:t>Pro veškeré spory vzni</w:t>
      </w:r>
      <w:r w:rsidR="00393457">
        <w:rPr>
          <w:sz w:val="14"/>
          <w:lang w:val="cs-CZ"/>
        </w:rPr>
        <w:t>klé z plnění / porušení Smlouvy</w:t>
      </w:r>
      <w:r w:rsidRPr="00CA786C">
        <w:rPr>
          <w:sz w:val="14"/>
          <w:lang w:val="cs-CZ"/>
        </w:rPr>
        <w:t xml:space="preserve"> (včetně jejích případných dodatků) sjednávají smluvní strany pravomoc věcně příslušného soudu České republiky, v jehož územním obvodu leží sídlo Coface</w:t>
      </w:r>
      <w:r w:rsidRPr="00CA786C">
        <w:rPr>
          <w:spacing w:val="-23"/>
          <w:sz w:val="14"/>
          <w:lang w:val="cs-CZ"/>
        </w:rPr>
        <w:t xml:space="preserve"> </w:t>
      </w:r>
      <w:r w:rsidRPr="00CA786C">
        <w:rPr>
          <w:sz w:val="14"/>
          <w:lang w:val="cs-CZ"/>
        </w:rPr>
        <w:t>Czech.</w:t>
      </w:r>
    </w:p>
    <w:p w14:paraId="638E82F0" w14:textId="77777777" w:rsidR="0000025D" w:rsidRPr="00CA786C" w:rsidRDefault="00A9192D">
      <w:pPr>
        <w:pStyle w:val="Nagwek1"/>
        <w:numPr>
          <w:ilvl w:val="0"/>
          <w:numId w:val="2"/>
        </w:numPr>
        <w:tabs>
          <w:tab w:val="left" w:pos="580"/>
          <w:tab w:val="left" w:pos="581"/>
        </w:tabs>
        <w:spacing w:before="41"/>
        <w:ind w:left="580" w:hanging="480"/>
        <w:rPr>
          <w:lang w:val="cs-CZ"/>
        </w:rPr>
      </w:pPr>
      <w:r w:rsidRPr="00CA786C">
        <w:rPr>
          <w:color w:val="00396B"/>
          <w:lang w:val="cs-CZ"/>
        </w:rPr>
        <w:t>Závěrečná</w:t>
      </w:r>
      <w:r w:rsidRPr="00CA786C">
        <w:rPr>
          <w:color w:val="00396B"/>
          <w:spacing w:val="-15"/>
          <w:lang w:val="cs-CZ"/>
        </w:rPr>
        <w:t xml:space="preserve"> </w:t>
      </w:r>
      <w:r w:rsidRPr="00CA786C">
        <w:rPr>
          <w:color w:val="00396B"/>
          <w:lang w:val="cs-CZ"/>
        </w:rPr>
        <w:t>ustanovení</w:t>
      </w:r>
    </w:p>
    <w:p w14:paraId="6D422AF2" w14:textId="77777777" w:rsidR="0000025D" w:rsidRPr="00CA786C" w:rsidRDefault="00A9192D">
      <w:pPr>
        <w:pStyle w:val="Akapitzlist"/>
        <w:numPr>
          <w:ilvl w:val="1"/>
          <w:numId w:val="2"/>
        </w:numPr>
        <w:tabs>
          <w:tab w:val="left" w:pos="581"/>
        </w:tabs>
        <w:spacing w:line="237" w:lineRule="auto"/>
        <w:ind w:right="118"/>
        <w:rPr>
          <w:sz w:val="14"/>
          <w:lang w:val="cs-CZ"/>
        </w:rPr>
      </w:pPr>
      <w:r w:rsidRPr="00CA786C">
        <w:rPr>
          <w:sz w:val="14"/>
          <w:lang w:val="cs-CZ"/>
        </w:rPr>
        <w:t>Smlouva může být měněna a / nebo doplňována pouze dohodou smluvních stran, a to formou písemných, vzestupně číslovaných</w:t>
      </w:r>
      <w:r w:rsidRPr="00CA786C">
        <w:rPr>
          <w:spacing w:val="-15"/>
          <w:sz w:val="14"/>
          <w:lang w:val="cs-CZ"/>
        </w:rPr>
        <w:t xml:space="preserve"> </w:t>
      </w:r>
      <w:r w:rsidRPr="00CA786C">
        <w:rPr>
          <w:sz w:val="14"/>
          <w:lang w:val="cs-CZ"/>
        </w:rPr>
        <w:t>dodatků.</w:t>
      </w:r>
    </w:p>
    <w:p w14:paraId="1E766620" w14:textId="77777777" w:rsidR="0000025D" w:rsidRPr="00CA786C" w:rsidRDefault="00A9192D">
      <w:pPr>
        <w:pStyle w:val="Akapitzlist"/>
        <w:numPr>
          <w:ilvl w:val="1"/>
          <w:numId w:val="2"/>
        </w:numPr>
        <w:tabs>
          <w:tab w:val="left" w:pos="581"/>
        </w:tabs>
        <w:spacing w:before="21"/>
        <w:ind w:right="117"/>
        <w:rPr>
          <w:sz w:val="14"/>
          <w:lang w:val="cs-CZ"/>
        </w:rPr>
      </w:pPr>
      <w:r w:rsidRPr="00CA786C">
        <w:rPr>
          <w:sz w:val="14"/>
          <w:lang w:val="cs-CZ"/>
        </w:rPr>
        <w:t>Jsou-li Smlouva nebo kterékoli z jejích ustanovení (včetně jejích případných dodatků) částečně nebo úplně neplatné, anebo ztratí-li následně Smlouva nebo kterékoli z jejích ustanovení (včetně jejích případných dodatků) částečně nebo úplně svou platnost nebo účinnost, ať již  tato  neplatnost nebo neúčinnost byla prohlášena soudním či jiným úředním rozhodnutím nebo je obecně zjevná pro rozpor se současným či budoucím právem, zavazují se smluvní strany neprodleně podniknout odpovídající právní kroky či neprodleně zahájit jednání a sjednat Smlouvu novou nebo Smlouvu změnit  anebo doplnit tak, aby výsledná nová Smlouva nebo  změněná anebo doplněná Smlouva odpovídaly původně zamýšlenému</w:t>
      </w:r>
      <w:r w:rsidRPr="00CA786C">
        <w:rPr>
          <w:spacing w:val="-10"/>
          <w:sz w:val="14"/>
          <w:lang w:val="cs-CZ"/>
        </w:rPr>
        <w:t xml:space="preserve"> </w:t>
      </w:r>
      <w:r w:rsidRPr="00CA786C">
        <w:rPr>
          <w:sz w:val="14"/>
          <w:lang w:val="cs-CZ"/>
        </w:rPr>
        <w:t>účelu.</w:t>
      </w:r>
    </w:p>
    <w:p w14:paraId="3F3895CB" w14:textId="246E3E54" w:rsidR="0000025D" w:rsidRPr="00CA786C" w:rsidRDefault="00A9192D">
      <w:pPr>
        <w:pStyle w:val="Akapitzlist"/>
        <w:numPr>
          <w:ilvl w:val="1"/>
          <w:numId w:val="2"/>
        </w:numPr>
        <w:tabs>
          <w:tab w:val="left" w:pos="581"/>
        </w:tabs>
        <w:spacing w:before="21"/>
        <w:ind w:right="114"/>
        <w:rPr>
          <w:sz w:val="14"/>
          <w:lang w:val="cs-CZ"/>
        </w:rPr>
      </w:pPr>
      <w:r w:rsidRPr="00CA786C">
        <w:rPr>
          <w:sz w:val="14"/>
          <w:lang w:val="cs-CZ"/>
        </w:rPr>
        <w:t xml:space="preserve">Nadpisy jednotlivých článků Smlouvy a těchto </w:t>
      </w:r>
      <w:r w:rsidR="00C401A6">
        <w:rPr>
          <w:sz w:val="14"/>
          <w:lang w:val="cs-CZ"/>
        </w:rPr>
        <w:t>VOP</w:t>
      </w:r>
      <w:r w:rsidRPr="00CA786C">
        <w:rPr>
          <w:sz w:val="14"/>
          <w:lang w:val="cs-CZ"/>
        </w:rPr>
        <w:t xml:space="preserve"> mají pouze orientační charakter a v žádném případě nebudou sloužit, resp. napomáhat výkladu jejich jednotlivých ustanovení.</w:t>
      </w:r>
    </w:p>
    <w:p w14:paraId="78D7611D" w14:textId="77777777" w:rsidR="0000025D" w:rsidRPr="00CA786C" w:rsidRDefault="00A9192D">
      <w:pPr>
        <w:pStyle w:val="Akapitzlist"/>
        <w:numPr>
          <w:ilvl w:val="1"/>
          <w:numId w:val="2"/>
        </w:numPr>
        <w:tabs>
          <w:tab w:val="left" w:pos="581"/>
        </w:tabs>
        <w:spacing w:line="237" w:lineRule="auto"/>
        <w:ind w:right="115"/>
        <w:rPr>
          <w:sz w:val="14"/>
          <w:lang w:val="cs-CZ"/>
        </w:rPr>
      </w:pPr>
      <w:r w:rsidRPr="00CA786C">
        <w:rPr>
          <w:sz w:val="14"/>
          <w:lang w:val="cs-CZ"/>
        </w:rPr>
        <w:t>Smlouva se uzavírá ve dvou vyhotoveních; každá smluvní strana obdrží po</w:t>
      </w:r>
      <w:r w:rsidRPr="00CA786C">
        <w:rPr>
          <w:spacing w:val="-16"/>
          <w:sz w:val="14"/>
          <w:lang w:val="cs-CZ"/>
        </w:rPr>
        <w:t xml:space="preserve"> </w:t>
      </w:r>
      <w:r w:rsidRPr="00CA786C">
        <w:rPr>
          <w:sz w:val="14"/>
          <w:lang w:val="cs-CZ"/>
        </w:rPr>
        <w:t>jednom.</w:t>
      </w:r>
    </w:p>
    <w:p w14:paraId="79B5839A" w14:textId="19B23329" w:rsidR="0000025D" w:rsidRPr="00CA786C" w:rsidRDefault="00393457">
      <w:pPr>
        <w:pStyle w:val="Akapitzlist"/>
        <w:numPr>
          <w:ilvl w:val="1"/>
          <w:numId w:val="2"/>
        </w:numPr>
        <w:tabs>
          <w:tab w:val="left" w:pos="581"/>
        </w:tabs>
        <w:spacing w:line="237" w:lineRule="auto"/>
        <w:ind w:right="122"/>
        <w:rPr>
          <w:sz w:val="14"/>
          <w:lang w:val="cs-CZ"/>
        </w:rPr>
      </w:pPr>
      <w:r>
        <w:rPr>
          <w:sz w:val="14"/>
          <w:lang w:val="cs-CZ"/>
        </w:rPr>
        <w:t xml:space="preserve">V případě rozporů mezi ustanoveními těchto VOP </w:t>
      </w:r>
      <w:r w:rsidR="00A9192D" w:rsidRPr="00CA786C">
        <w:rPr>
          <w:sz w:val="14"/>
          <w:lang w:val="cs-CZ"/>
        </w:rPr>
        <w:t>a Smlouvou mají přednost ustanovení</w:t>
      </w:r>
      <w:r w:rsidR="00A9192D" w:rsidRPr="00CA786C">
        <w:rPr>
          <w:spacing w:val="-29"/>
          <w:sz w:val="14"/>
          <w:lang w:val="cs-CZ"/>
        </w:rPr>
        <w:t xml:space="preserve"> </w:t>
      </w:r>
      <w:r w:rsidR="00A9192D" w:rsidRPr="00CA786C">
        <w:rPr>
          <w:sz w:val="14"/>
          <w:lang w:val="cs-CZ"/>
        </w:rPr>
        <w:t>Smlouvy.</w:t>
      </w:r>
    </w:p>
    <w:p w14:paraId="4386A4B4" w14:textId="63CA8A34" w:rsidR="0000025D" w:rsidRDefault="00A9192D">
      <w:pPr>
        <w:pStyle w:val="Akapitzlist"/>
        <w:numPr>
          <w:ilvl w:val="1"/>
          <w:numId w:val="2"/>
        </w:numPr>
        <w:tabs>
          <w:tab w:val="left" w:pos="581"/>
        </w:tabs>
        <w:spacing w:before="21"/>
        <w:ind w:right="115"/>
        <w:rPr>
          <w:sz w:val="14"/>
          <w:lang w:val="cs-CZ"/>
        </w:rPr>
      </w:pPr>
      <w:r w:rsidRPr="00CA786C">
        <w:rPr>
          <w:sz w:val="14"/>
          <w:lang w:val="cs-CZ"/>
        </w:rPr>
        <w:t xml:space="preserve">Smlouva se uzavírá v českém jazyku; jakékoli překlady Smlouvy (jakož i těchto </w:t>
      </w:r>
      <w:r w:rsidR="00C401A6">
        <w:rPr>
          <w:sz w:val="14"/>
          <w:lang w:val="cs-CZ"/>
        </w:rPr>
        <w:t>VOP</w:t>
      </w:r>
      <w:r w:rsidRPr="00CA786C">
        <w:rPr>
          <w:sz w:val="14"/>
          <w:lang w:val="cs-CZ"/>
        </w:rPr>
        <w:t xml:space="preserve"> a jakýchkoli příloh Smlouvy) mohou být poříze</w:t>
      </w:r>
      <w:r w:rsidR="00393457">
        <w:rPr>
          <w:sz w:val="14"/>
          <w:lang w:val="cs-CZ"/>
        </w:rPr>
        <w:t>ny jen pro účely snazšího poro</w:t>
      </w:r>
      <w:r w:rsidRPr="00CA786C">
        <w:rPr>
          <w:sz w:val="14"/>
          <w:lang w:val="cs-CZ"/>
        </w:rPr>
        <w:t>zumění</w:t>
      </w:r>
      <w:r w:rsidR="00393457">
        <w:rPr>
          <w:sz w:val="14"/>
          <w:lang w:val="cs-CZ"/>
        </w:rPr>
        <w:t xml:space="preserve"> </w:t>
      </w:r>
      <w:r w:rsidRPr="00CA786C">
        <w:rPr>
          <w:sz w:val="14"/>
          <w:lang w:val="cs-CZ"/>
        </w:rPr>
        <w:t>a nebudou mít žádnou právní</w:t>
      </w:r>
      <w:r w:rsidRPr="00CA786C">
        <w:rPr>
          <w:spacing w:val="-29"/>
          <w:sz w:val="14"/>
          <w:lang w:val="cs-CZ"/>
        </w:rPr>
        <w:t xml:space="preserve"> </w:t>
      </w:r>
      <w:r w:rsidRPr="00CA786C">
        <w:rPr>
          <w:sz w:val="14"/>
          <w:lang w:val="cs-CZ"/>
        </w:rPr>
        <w:t>závaznost.</w:t>
      </w:r>
    </w:p>
    <w:p w14:paraId="1F696DAD" w14:textId="77777777" w:rsidR="005249D0" w:rsidRPr="00CA786C" w:rsidRDefault="005249D0" w:rsidP="005249D0">
      <w:pPr>
        <w:pStyle w:val="Akapitzlist"/>
        <w:tabs>
          <w:tab w:val="left" w:pos="581"/>
        </w:tabs>
        <w:spacing w:before="21"/>
        <w:ind w:left="580" w:right="115" w:firstLine="0"/>
        <w:rPr>
          <w:sz w:val="14"/>
          <w:lang w:val="cs-CZ"/>
        </w:rPr>
      </w:pPr>
    </w:p>
    <w:p w14:paraId="4E3CDF28" w14:textId="77777777" w:rsidR="00B4502F" w:rsidRDefault="00B4502F">
      <w:pPr>
        <w:pStyle w:val="Tekstpodstawowy"/>
        <w:spacing w:before="41"/>
        <w:ind w:left="100" w:firstLine="0"/>
        <w:jc w:val="left"/>
        <w:rPr>
          <w:lang w:val="cs-CZ"/>
        </w:rPr>
      </w:pPr>
    </w:p>
    <w:p w14:paraId="2AA148FC" w14:textId="66BAEEAC" w:rsidR="0000025D" w:rsidRPr="00CA786C" w:rsidRDefault="004A4220">
      <w:pPr>
        <w:pStyle w:val="Tekstpodstawowy"/>
        <w:spacing w:before="41"/>
        <w:ind w:left="100" w:firstLine="0"/>
        <w:jc w:val="left"/>
        <w:rPr>
          <w:lang w:val="cs-CZ"/>
        </w:rPr>
      </w:pPr>
      <w:r>
        <w:rPr>
          <w:lang w:val="cs-CZ"/>
        </w:rPr>
        <w:t>V Praze 22.</w:t>
      </w:r>
      <w:r w:rsidR="002259A1">
        <w:rPr>
          <w:lang w:val="cs-CZ"/>
        </w:rPr>
        <w:t>03</w:t>
      </w:r>
      <w:r>
        <w:rPr>
          <w:lang w:val="cs-CZ"/>
        </w:rPr>
        <w:t>.2023</w:t>
      </w:r>
    </w:p>
    <w:p w14:paraId="0879BBCC" w14:textId="2517F935" w:rsidR="0000025D" w:rsidRPr="00CA786C" w:rsidRDefault="00D56832">
      <w:pPr>
        <w:pStyle w:val="Tekstpodstawowy"/>
        <w:spacing w:before="39"/>
        <w:ind w:left="100" w:firstLine="0"/>
        <w:jc w:val="left"/>
        <w:rPr>
          <w:lang w:val="cs-CZ"/>
        </w:rPr>
      </w:pPr>
      <w:r w:rsidRPr="00D56832">
        <w:rPr>
          <w:lang w:val="cs-CZ"/>
        </w:rPr>
        <w:t>Coface Czech Services spol. s r.o.</w:t>
      </w:r>
    </w:p>
    <w:sectPr w:rsidR="0000025D" w:rsidRPr="00CA786C" w:rsidSect="008B26F8">
      <w:type w:val="continuous"/>
      <w:pgSz w:w="11910" w:h="16840"/>
      <w:pgMar w:top="760" w:right="880" w:bottom="740"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774F" w14:textId="77777777" w:rsidR="00BC7769" w:rsidRDefault="00BC7769">
      <w:r>
        <w:separator/>
      </w:r>
    </w:p>
  </w:endnote>
  <w:endnote w:type="continuationSeparator" w:id="0">
    <w:p w14:paraId="48B36147" w14:textId="77777777" w:rsidR="00BC7769" w:rsidRDefault="00BC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8429" w14:textId="24568C17" w:rsidR="0000025D" w:rsidRDefault="00A9192D">
    <w:pPr>
      <w:pStyle w:val="Tekstpodstawowy"/>
      <w:spacing w:before="0" w:line="14" w:lineRule="auto"/>
      <w:ind w:left="0" w:firstLine="0"/>
      <w:jc w:val="left"/>
      <w:rPr>
        <w:sz w:val="20"/>
      </w:rPr>
    </w:pPr>
    <w:r>
      <w:rPr>
        <w:noProof/>
        <w:lang w:val="cs-CZ" w:eastAsia="cs-CZ"/>
      </w:rPr>
      <mc:AlternateContent>
        <mc:Choice Requires="wps">
          <w:drawing>
            <wp:anchor distT="0" distB="0" distL="114300" distR="114300" simplePos="0" relativeHeight="503312048" behindDoc="1" locked="0" layoutInCell="1" allowOverlap="1" wp14:anchorId="2666DBC4" wp14:editId="459C9D97">
              <wp:simplePos x="0" y="0"/>
              <wp:positionH relativeFrom="page">
                <wp:posOffset>3510280</wp:posOffset>
              </wp:positionH>
              <wp:positionV relativeFrom="page">
                <wp:posOffset>10206990</wp:posOffset>
              </wp:positionV>
              <wp:extent cx="543560" cy="11811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A1DB" w14:textId="60CE5627" w:rsidR="0000025D" w:rsidRPr="00C401A6" w:rsidRDefault="0000025D" w:rsidP="00C401A6">
                          <w:pPr>
                            <w:spacing w:before="20"/>
                            <w:rPr>
                              <w:sz w:val="12"/>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DBC4" id="_x0000_t202" coordsize="21600,21600" o:spt="202" path="m,l,21600r21600,l21600,xe">
              <v:stroke joinstyle="miter"/>
              <v:path gradientshapeok="t" o:connecttype="rect"/>
            </v:shapetype>
            <v:shape id="Text Box 1" o:spid="_x0000_s1027" type="#_x0000_t202" style="position:absolute;margin-left:276.4pt;margin-top:803.7pt;width:42.8pt;height:9.3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ol1wEAAJcDAAAOAAAAZHJzL2Uyb0RvYy54bWysU9tu1DAQfUfiHyy/s9kUWlXRZqvSqgip&#10;XKTCB0wcJ7FIPGbs3WT5esZOsuXyhnixxjP28TlnxrubaejFUZM3aEuZb7ZSaKuwNrYt5dcvD6+u&#10;pfABbA09Wl3Kk/byZv/yxW50hb7ADvtak2AQ64vRlbILwRVZ5lWnB/AbdNpysUEaIPCW2qwmGBl9&#10;6LOL7fYqG5FqR6i095y9n4tyn/CbRqvwqWm8DqIvJXMLaaW0VnHN9jsoWgLXGbXQgH9gMYCx/OgZ&#10;6h4CiAOZv6AGowg9NmGjcMiwaYzSSQOrybd/qHnqwOmkhc3x7myT/3+w6uPxyX0mEaa3OHEDkwjv&#10;HlF988LiXQe21bdEOHYaan44j5Zlo/PFcjVa7QsfQarxA9bcZDgETEBTQ0N0hXUKRucGnM6m6ykI&#10;xcnLN68vr7iiuJTn13mempJBsV525MM7jYOIQSmJe5rA4fjoQyQDxXokvmXxwfR96mtvf0vwwZhJ&#10;5CPfmXmYqkmYelEWtVRYn1gN4TwtPN0cdEg/pBh5Ukrpvx+AtBT9e8uOxLFaA1qDag3AKr5ayiDF&#10;HN6FefwOjkzbMfLsucVbdq0xSdEzi4Uudz8JXSY1jtev+3Tq+T/tfwIAAP//AwBQSwMEFAAGAAgA&#10;AAAhAN8eOavhAAAADQEAAA8AAABkcnMvZG93bnJldi54bWxMj8FOwzAQRO9I/IO1SNyoTaCmhDhV&#10;heCEhEjDgaMTu4nVeB1itw1/z/YEt92d0eybYj37gR3tFF1ABbcLAcxiG4zDTsFn/XqzAhaTRqOH&#10;gFbBj42wLi8vCp2bcMLKHrepYxSCMdcK+pTGnPPY9tbruAijRdJ2YfI60Tp13Ez6ROF+4JkQknvt&#10;kD70erTPvW3324NXsPnC6sV9vzcf1a5ydf0o8E3ulbq+mjdPwJKd058ZzviEDiUxNeGAJrJBwXKZ&#10;EXoiQYqHe2BkkXcrGprzKZMCeFnw/y3KXwAAAP//AwBQSwECLQAUAAYACAAAACEAtoM4kv4AAADh&#10;AQAAEwAAAAAAAAAAAAAAAAAAAAAAW0NvbnRlbnRfVHlwZXNdLnhtbFBLAQItABQABgAIAAAAIQA4&#10;/SH/1gAAAJQBAAALAAAAAAAAAAAAAAAAAC8BAABfcmVscy8ucmVsc1BLAQItABQABgAIAAAAIQD0&#10;E5ol1wEAAJcDAAAOAAAAAAAAAAAAAAAAAC4CAABkcnMvZTJvRG9jLnhtbFBLAQItABQABgAIAAAA&#10;IQDfHjmr4QAAAA0BAAAPAAAAAAAAAAAAAAAAADEEAABkcnMvZG93bnJldi54bWxQSwUGAAAAAAQA&#10;BADzAAAAPwUAAAAA&#10;" filled="f" stroked="f">
              <v:textbox inset="0,0,0,0">
                <w:txbxContent>
                  <w:p w14:paraId="334EA1DB" w14:textId="60CE5627" w:rsidR="0000025D" w:rsidRPr="00C401A6" w:rsidRDefault="0000025D" w:rsidP="00C401A6">
                    <w:pPr>
                      <w:spacing w:before="20"/>
                      <w:rPr>
                        <w:sz w:val="12"/>
                        <w:lang w:val="cs-CZ"/>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8030" w14:textId="77777777" w:rsidR="00BC7769" w:rsidRDefault="00BC7769">
      <w:r>
        <w:separator/>
      </w:r>
    </w:p>
  </w:footnote>
  <w:footnote w:type="continuationSeparator" w:id="0">
    <w:p w14:paraId="17E1C1A9" w14:textId="77777777" w:rsidR="00BC7769" w:rsidRDefault="00BC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032" w14:textId="6BE3DE63" w:rsidR="0000025D" w:rsidRDefault="00A9192D" w:rsidP="008B26F8">
    <w:pPr>
      <w:pStyle w:val="Tekstpodstawowy"/>
      <w:numPr>
        <w:ilvl w:val="0"/>
        <w:numId w:val="3"/>
      </w:numPr>
      <w:spacing w:before="0" w:after="360" w:line="14" w:lineRule="auto"/>
      <w:ind w:left="714" w:hanging="357"/>
      <w:jc w:val="left"/>
      <w:rPr>
        <w:sz w:val="20"/>
      </w:rPr>
    </w:pPr>
    <w:r>
      <w:rPr>
        <w:noProof/>
        <w:lang w:val="cs-CZ" w:eastAsia="cs-CZ"/>
      </w:rPr>
      <mc:AlternateContent>
        <mc:Choice Requires="wps">
          <w:drawing>
            <wp:anchor distT="0" distB="0" distL="114300" distR="114300" simplePos="0" relativeHeight="503312024" behindDoc="1" locked="0" layoutInCell="1" allowOverlap="1" wp14:anchorId="1805825D" wp14:editId="7F90AA58">
              <wp:simplePos x="0" y="0"/>
              <wp:positionH relativeFrom="page">
                <wp:posOffset>1621155</wp:posOffset>
              </wp:positionH>
              <wp:positionV relativeFrom="page">
                <wp:posOffset>367665</wp:posOffset>
              </wp:positionV>
              <wp:extent cx="4316730" cy="133350"/>
              <wp:effectExtent l="190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A799" w14:textId="77777777" w:rsidR="0000025D" w:rsidRDefault="00A9192D" w:rsidP="008B26F8">
                          <w:pPr>
                            <w:spacing w:before="19" w:after="240"/>
                            <w:ind w:left="23"/>
                            <w:rPr>
                              <w:b/>
                              <w:sz w:val="14"/>
                            </w:rPr>
                          </w:pPr>
                          <w:proofErr w:type="spellStart"/>
                          <w:r>
                            <w:rPr>
                              <w:b/>
                              <w:sz w:val="14"/>
                            </w:rPr>
                            <w:t>Příloha</w:t>
                          </w:r>
                          <w:proofErr w:type="spellEnd"/>
                          <w:r>
                            <w:rPr>
                              <w:b/>
                              <w:sz w:val="14"/>
                            </w:rPr>
                            <w:t xml:space="preserve"> č. 1 </w:t>
                          </w:r>
                          <w:proofErr w:type="spellStart"/>
                          <w:r>
                            <w:rPr>
                              <w:b/>
                              <w:sz w:val="14"/>
                            </w:rPr>
                            <w:t>smlouvy</w:t>
                          </w:r>
                          <w:proofErr w:type="spellEnd"/>
                          <w:r>
                            <w:rPr>
                              <w:b/>
                              <w:sz w:val="14"/>
                            </w:rPr>
                            <w:t xml:space="preserve"> o </w:t>
                          </w:r>
                          <w:proofErr w:type="spellStart"/>
                          <w:r>
                            <w:rPr>
                              <w:b/>
                              <w:sz w:val="14"/>
                            </w:rPr>
                            <w:t>zařízení</w:t>
                          </w:r>
                          <w:proofErr w:type="spellEnd"/>
                          <w:r>
                            <w:rPr>
                              <w:b/>
                              <w:sz w:val="14"/>
                            </w:rPr>
                            <w:t xml:space="preserve"> </w:t>
                          </w:r>
                          <w:proofErr w:type="spellStart"/>
                          <w:r>
                            <w:rPr>
                              <w:b/>
                              <w:sz w:val="14"/>
                            </w:rPr>
                            <w:t>záležitostí</w:t>
                          </w:r>
                          <w:proofErr w:type="spellEnd"/>
                          <w:r>
                            <w:rPr>
                              <w:b/>
                              <w:sz w:val="14"/>
                            </w:rPr>
                            <w:t xml:space="preserve"> </w:t>
                          </w:r>
                          <w:proofErr w:type="spellStart"/>
                          <w:r>
                            <w:rPr>
                              <w:b/>
                              <w:sz w:val="14"/>
                            </w:rPr>
                            <w:t>spojených</w:t>
                          </w:r>
                          <w:proofErr w:type="spellEnd"/>
                          <w:r>
                            <w:rPr>
                              <w:b/>
                              <w:sz w:val="14"/>
                            </w:rPr>
                            <w:t xml:space="preserve"> s </w:t>
                          </w:r>
                          <w:proofErr w:type="spellStart"/>
                          <w:r>
                            <w:rPr>
                              <w:b/>
                              <w:sz w:val="14"/>
                            </w:rPr>
                            <w:t>upokojením</w:t>
                          </w:r>
                          <w:proofErr w:type="spellEnd"/>
                          <w:r>
                            <w:rPr>
                              <w:b/>
                              <w:sz w:val="14"/>
                            </w:rPr>
                            <w:t xml:space="preserve"> </w:t>
                          </w:r>
                          <w:proofErr w:type="spellStart"/>
                          <w:r>
                            <w:rPr>
                              <w:b/>
                              <w:sz w:val="14"/>
                            </w:rPr>
                            <w:t>pohledávek</w:t>
                          </w:r>
                          <w:proofErr w:type="spellEnd"/>
                          <w:r>
                            <w:rPr>
                              <w:b/>
                              <w:sz w:val="14"/>
                            </w:rPr>
                            <w:t xml:space="preserve"> </w:t>
                          </w:r>
                          <w:proofErr w:type="spellStart"/>
                          <w:r>
                            <w:rPr>
                              <w:b/>
                              <w:sz w:val="14"/>
                            </w:rPr>
                            <w:t>Klienta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825D" id="_x0000_t202" coordsize="21600,21600" o:spt="202" path="m,l,21600r21600,l21600,xe">
              <v:stroke joinstyle="miter"/>
              <v:path gradientshapeok="t" o:connecttype="rect"/>
            </v:shapetype>
            <v:shape id="Text Box 2" o:spid="_x0000_s1026" type="#_x0000_t202" style="position:absolute;left:0;text-align:left;margin-left:127.65pt;margin-top:28.95pt;width:339.9pt;height:10.5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8C1gEAAJEDAAAOAAAAZHJzL2Uyb0RvYy54bWysU9tu1DAQfUfiHyy/s9l0oaBos1VpVYRU&#10;LlLhAyaOnUQkHjP2brJ8PWNnswX6VvFiTWbGx+ecmWyvpqEXB02+Q1vKfLWWQluFdWebUn7/dvfq&#10;nRQ+gK2hR6tLedReXu1evtiOrtAX2GJfaxIMYn0xulK2Ibgiy7xq9QB+hU5bLhqkAQJ/UpPVBCOj&#10;D312sV5fZiNS7QiV9p6zt3NR7hK+MVqFL8Z4HURfSuYW0knprOKZ7bZQNASu7dSJBjyDxQCd5UfP&#10;ULcQQOypewI1dIrQowkrhUOGxnRKJw2sJl//o+ahBaeTFjbHu7NN/v/Bqs+HB/eVRJje48QDTCK8&#10;u0f1wwuLNy3YRl8T4dhqqPnhPFqWjc4Xp6vRal/4CFKNn7DmIcM+YAKaDA3RFdYpGJ0HcDybrqcg&#10;FCdfb/LLtxsuKa7lm83mTZpKBsVy25EPHzQOIgalJB5qQofDvQ+RDRRLS3zM4l3X92mwvf0rwY0x&#10;k9hHwjP1MFUTd0cVFdZH1kE47wnvNQct0i8pRt6RUvqfeyAtRf/RshdxoZaAlqBaArCKr5YySDGH&#10;N2FevL2jrmkZeXbb4jX7Zbok5ZHFiSfPPSk87WhcrD+/U9fjn7T7DQAA//8DAFBLAwQUAAYACAAA&#10;ACEALnLFauAAAAAJAQAADwAAAGRycy9kb3ducmV2LnhtbEyPQU/CQBCF7yb+h82QeJMtkAItnRJi&#10;9GRiLPXgcdsd2obubO0uUP+960mPk/flvW+y/WR6caXRdZYRFvMIBHFtdccNwkf58rgF4bxirXrL&#10;hPBNDvb5/V2mUm1vXND16BsRStilCqH1fkildHVLRrm5HYhDdrKjUT6cYyP1qG6h3PRyGUVraVTH&#10;YaFVAz21VJ+PF4Nw+OTiuft6q96LU9GVZRLx6/qM+DCbDjsQnib/B8OvflCHPDhV9sLaiR5hGcer&#10;gCLEmwREAJJVvABRIWy2Ccg8k/8/yH8AAAD//wMAUEsBAi0AFAAGAAgAAAAhALaDOJL+AAAA4QEA&#10;ABMAAAAAAAAAAAAAAAAAAAAAAFtDb250ZW50X1R5cGVzXS54bWxQSwECLQAUAAYACAAAACEAOP0h&#10;/9YAAACUAQAACwAAAAAAAAAAAAAAAAAvAQAAX3JlbHMvLnJlbHNQSwECLQAUAAYACAAAACEAIwMP&#10;AtYBAACRAwAADgAAAAAAAAAAAAAAAAAuAgAAZHJzL2Uyb0RvYy54bWxQSwECLQAUAAYACAAAACEA&#10;LnLFauAAAAAJAQAADwAAAAAAAAAAAAAAAAAwBAAAZHJzL2Rvd25yZXYueG1sUEsFBgAAAAAEAAQA&#10;8wAAAD0FAAAAAA==&#10;" filled="f" stroked="f">
              <v:textbox inset="0,0,0,0">
                <w:txbxContent>
                  <w:p w14:paraId="5309A799" w14:textId="77777777" w:rsidR="0000025D" w:rsidRDefault="00A9192D" w:rsidP="008B26F8">
                    <w:pPr>
                      <w:spacing w:before="19" w:after="240"/>
                      <w:ind w:left="23"/>
                      <w:rPr>
                        <w:b/>
                        <w:sz w:val="14"/>
                      </w:rPr>
                    </w:pPr>
                    <w:proofErr w:type="spellStart"/>
                    <w:r>
                      <w:rPr>
                        <w:b/>
                        <w:sz w:val="14"/>
                      </w:rPr>
                      <w:t>Příloha</w:t>
                    </w:r>
                    <w:proofErr w:type="spellEnd"/>
                    <w:r>
                      <w:rPr>
                        <w:b/>
                        <w:sz w:val="14"/>
                      </w:rPr>
                      <w:t xml:space="preserve"> č. 1 </w:t>
                    </w:r>
                    <w:proofErr w:type="spellStart"/>
                    <w:r>
                      <w:rPr>
                        <w:b/>
                        <w:sz w:val="14"/>
                      </w:rPr>
                      <w:t>smlouvy</w:t>
                    </w:r>
                    <w:proofErr w:type="spellEnd"/>
                    <w:r>
                      <w:rPr>
                        <w:b/>
                        <w:sz w:val="14"/>
                      </w:rPr>
                      <w:t xml:space="preserve"> o </w:t>
                    </w:r>
                    <w:proofErr w:type="spellStart"/>
                    <w:r>
                      <w:rPr>
                        <w:b/>
                        <w:sz w:val="14"/>
                      </w:rPr>
                      <w:t>zařízení</w:t>
                    </w:r>
                    <w:proofErr w:type="spellEnd"/>
                    <w:r>
                      <w:rPr>
                        <w:b/>
                        <w:sz w:val="14"/>
                      </w:rPr>
                      <w:t xml:space="preserve"> </w:t>
                    </w:r>
                    <w:proofErr w:type="spellStart"/>
                    <w:r>
                      <w:rPr>
                        <w:b/>
                        <w:sz w:val="14"/>
                      </w:rPr>
                      <w:t>záležitostí</w:t>
                    </w:r>
                    <w:proofErr w:type="spellEnd"/>
                    <w:r>
                      <w:rPr>
                        <w:b/>
                        <w:sz w:val="14"/>
                      </w:rPr>
                      <w:t xml:space="preserve"> </w:t>
                    </w:r>
                    <w:proofErr w:type="spellStart"/>
                    <w:r>
                      <w:rPr>
                        <w:b/>
                        <w:sz w:val="14"/>
                      </w:rPr>
                      <w:t>spojených</w:t>
                    </w:r>
                    <w:proofErr w:type="spellEnd"/>
                    <w:r>
                      <w:rPr>
                        <w:b/>
                        <w:sz w:val="14"/>
                      </w:rPr>
                      <w:t xml:space="preserve"> s </w:t>
                    </w:r>
                    <w:proofErr w:type="spellStart"/>
                    <w:r>
                      <w:rPr>
                        <w:b/>
                        <w:sz w:val="14"/>
                      </w:rPr>
                      <w:t>upokojením</w:t>
                    </w:r>
                    <w:proofErr w:type="spellEnd"/>
                    <w:r>
                      <w:rPr>
                        <w:b/>
                        <w:sz w:val="14"/>
                      </w:rPr>
                      <w:t xml:space="preserve"> </w:t>
                    </w:r>
                    <w:proofErr w:type="spellStart"/>
                    <w:r>
                      <w:rPr>
                        <w:b/>
                        <w:sz w:val="14"/>
                      </w:rPr>
                      <w:t>pohledávek</w:t>
                    </w:r>
                    <w:proofErr w:type="spellEnd"/>
                    <w:r>
                      <w:rPr>
                        <w:b/>
                        <w:sz w:val="14"/>
                      </w:rPr>
                      <w:t xml:space="preserve"> </w:t>
                    </w:r>
                    <w:proofErr w:type="spellStart"/>
                    <w:r>
                      <w:rPr>
                        <w:b/>
                        <w:sz w:val="14"/>
                      </w:rPr>
                      <w:t>Klienta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E2"/>
    <w:multiLevelType w:val="hybridMultilevel"/>
    <w:tmpl w:val="31E45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DE37FE"/>
    <w:multiLevelType w:val="multilevel"/>
    <w:tmpl w:val="410CD9FA"/>
    <w:lvl w:ilvl="0">
      <w:start w:val="1"/>
      <w:numFmt w:val="decimal"/>
      <w:lvlText w:val="%1."/>
      <w:lvlJc w:val="left"/>
      <w:pPr>
        <w:ind w:left="100" w:hanging="541"/>
      </w:pPr>
      <w:rPr>
        <w:rFonts w:ascii="Verdana" w:eastAsia="Verdana" w:hAnsi="Verdana" w:cs="Verdana" w:hint="default"/>
        <w:b/>
        <w:bCs/>
        <w:color w:val="00396B"/>
        <w:spacing w:val="-1"/>
        <w:w w:val="99"/>
        <w:sz w:val="14"/>
        <w:szCs w:val="14"/>
      </w:rPr>
    </w:lvl>
    <w:lvl w:ilvl="1">
      <w:start w:val="1"/>
      <w:numFmt w:val="decimal"/>
      <w:lvlText w:val="%1.%2."/>
      <w:lvlJc w:val="left"/>
      <w:pPr>
        <w:ind w:left="580" w:hanging="480"/>
      </w:pPr>
      <w:rPr>
        <w:rFonts w:ascii="Verdana" w:eastAsia="Verdana" w:hAnsi="Verdana" w:cs="Verdana" w:hint="default"/>
        <w:spacing w:val="-1"/>
        <w:w w:val="99"/>
        <w:sz w:val="14"/>
        <w:szCs w:val="14"/>
      </w:rPr>
    </w:lvl>
    <w:lvl w:ilvl="2">
      <w:start w:val="1"/>
      <w:numFmt w:val="decimal"/>
      <w:lvlText w:val="%1.%2.%3."/>
      <w:lvlJc w:val="left"/>
      <w:pPr>
        <w:ind w:left="1120" w:hanging="540"/>
      </w:pPr>
      <w:rPr>
        <w:rFonts w:ascii="Verdana" w:eastAsia="Verdana" w:hAnsi="Verdana" w:cs="Verdana" w:hint="default"/>
        <w:spacing w:val="-1"/>
        <w:w w:val="99"/>
        <w:sz w:val="14"/>
        <w:szCs w:val="14"/>
      </w:rPr>
    </w:lvl>
    <w:lvl w:ilvl="3">
      <w:numFmt w:val="bullet"/>
      <w:lvlText w:val="•"/>
      <w:lvlJc w:val="left"/>
      <w:pPr>
        <w:ind w:left="966" w:hanging="540"/>
      </w:pPr>
      <w:rPr>
        <w:rFonts w:hint="default"/>
      </w:rPr>
    </w:lvl>
    <w:lvl w:ilvl="4">
      <w:numFmt w:val="bullet"/>
      <w:lvlText w:val="•"/>
      <w:lvlJc w:val="left"/>
      <w:pPr>
        <w:ind w:left="812" w:hanging="540"/>
      </w:pPr>
      <w:rPr>
        <w:rFonts w:hint="default"/>
      </w:rPr>
    </w:lvl>
    <w:lvl w:ilvl="5">
      <w:numFmt w:val="bullet"/>
      <w:lvlText w:val="•"/>
      <w:lvlJc w:val="left"/>
      <w:pPr>
        <w:ind w:left="659" w:hanging="540"/>
      </w:pPr>
      <w:rPr>
        <w:rFonts w:hint="default"/>
      </w:rPr>
    </w:lvl>
    <w:lvl w:ilvl="6">
      <w:numFmt w:val="bullet"/>
      <w:lvlText w:val="•"/>
      <w:lvlJc w:val="left"/>
      <w:pPr>
        <w:ind w:left="505" w:hanging="540"/>
      </w:pPr>
      <w:rPr>
        <w:rFonts w:hint="default"/>
      </w:rPr>
    </w:lvl>
    <w:lvl w:ilvl="7">
      <w:numFmt w:val="bullet"/>
      <w:lvlText w:val="•"/>
      <w:lvlJc w:val="left"/>
      <w:pPr>
        <w:ind w:left="352" w:hanging="540"/>
      </w:pPr>
      <w:rPr>
        <w:rFonts w:hint="default"/>
      </w:rPr>
    </w:lvl>
    <w:lvl w:ilvl="8">
      <w:numFmt w:val="bullet"/>
      <w:lvlText w:val="•"/>
      <w:lvlJc w:val="left"/>
      <w:pPr>
        <w:ind w:left="198" w:hanging="540"/>
      </w:pPr>
      <w:rPr>
        <w:rFonts w:hint="default"/>
      </w:rPr>
    </w:lvl>
  </w:abstractNum>
  <w:abstractNum w:abstractNumId="2" w15:restartNumberingAfterBreak="0">
    <w:nsid w:val="759D567C"/>
    <w:multiLevelType w:val="multilevel"/>
    <w:tmpl w:val="E6E0E63A"/>
    <w:lvl w:ilvl="0">
      <w:start w:val="1"/>
      <w:numFmt w:val="decimal"/>
      <w:lvlText w:val="%1"/>
      <w:lvlJc w:val="left"/>
      <w:pPr>
        <w:ind w:left="581" w:hanging="481"/>
      </w:pPr>
      <w:rPr>
        <w:rFonts w:hint="default"/>
      </w:rPr>
    </w:lvl>
    <w:lvl w:ilvl="1">
      <w:start w:val="1"/>
      <w:numFmt w:val="decimal"/>
      <w:lvlText w:val="%1.%2."/>
      <w:lvlJc w:val="left"/>
      <w:pPr>
        <w:ind w:left="581" w:hanging="481"/>
      </w:pPr>
      <w:rPr>
        <w:rFonts w:ascii="Verdana" w:eastAsia="Verdana" w:hAnsi="Verdana" w:cs="Verdana" w:hint="default"/>
        <w:w w:val="99"/>
        <w:sz w:val="14"/>
        <w:szCs w:val="14"/>
      </w:rPr>
    </w:lvl>
    <w:lvl w:ilvl="2">
      <w:start w:val="1"/>
      <w:numFmt w:val="decimal"/>
      <w:lvlText w:val="%1.%2.%3."/>
      <w:lvlJc w:val="left"/>
      <w:pPr>
        <w:ind w:left="1121" w:hanging="540"/>
      </w:pPr>
      <w:rPr>
        <w:rFonts w:ascii="Verdana" w:eastAsia="Verdana" w:hAnsi="Verdana" w:cs="Verdana" w:hint="default"/>
        <w:w w:val="99"/>
        <w:sz w:val="14"/>
        <w:szCs w:val="14"/>
      </w:rPr>
    </w:lvl>
    <w:lvl w:ilvl="3">
      <w:numFmt w:val="bullet"/>
      <w:lvlText w:val="•"/>
      <w:lvlJc w:val="left"/>
      <w:pPr>
        <w:ind w:left="1971" w:hanging="540"/>
      </w:pPr>
      <w:rPr>
        <w:rFonts w:hint="default"/>
      </w:rPr>
    </w:lvl>
    <w:lvl w:ilvl="4">
      <w:numFmt w:val="bullet"/>
      <w:lvlText w:val="•"/>
      <w:lvlJc w:val="left"/>
      <w:pPr>
        <w:ind w:left="2396" w:hanging="540"/>
      </w:pPr>
      <w:rPr>
        <w:rFonts w:hint="default"/>
      </w:rPr>
    </w:lvl>
    <w:lvl w:ilvl="5">
      <w:numFmt w:val="bullet"/>
      <w:lvlText w:val="•"/>
      <w:lvlJc w:val="left"/>
      <w:pPr>
        <w:ind w:left="2822" w:hanging="540"/>
      </w:pPr>
      <w:rPr>
        <w:rFonts w:hint="default"/>
      </w:rPr>
    </w:lvl>
    <w:lvl w:ilvl="6">
      <w:numFmt w:val="bullet"/>
      <w:lvlText w:val="•"/>
      <w:lvlJc w:val="left"/>
      <w:pPr>
        <w:ind w:left="3247" w:hanging="540"/>
      </w:pPr>
      <w:rPr>
        <w:rFonts w:hint="default"/>
      </w:rPr>
    </w:lvl>
    <w:lvl w:ilvl="7">
      <w:numFmt w:val="bullet"/>
      <w:lvlText w:val="•"/>
      <w:lvlJc w:val="left"/>
      <w:pPr>
        <w:ind w:left="3673" w:hanging="540"/>
      </w:pPr>
      <w:rPr>
        <w:rFonts w:hint="default"/>
      </w:rPr>
    </w:lvl>
    <w:lvl w:ilvl="8">
      <w:numFmt w:val="bullet"/>
      <w:lvlText w:val="•"/>
      <w:lvlJc w:val="left"/>
      <w:pPr>
        <w:ind w:left="4098" w:hanging="540"/>
      </w:pPr>
      <w:rPr>
        <w:rFonts w:hint="default"/>
      </w:rPr>
    </w:lvl>
  </w:abstractNum>
  <w:num w:numId="1" w16cid:durableId="1217232142">
    <w:abstractNumId w:val="2"/>
  </w:num>
  <w:num w:numId="2" w16cid:durableId="963194603">
    <w:abstractNumId w:val="1"/>
  </w:num>
  <w:num w:numId="3" w16cid:durableId="76534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5D"/>
    <w:rsid w:val="0000025D"/>
    <w:rsid w:val="000C1AE0"/>
    <w:rsid w:val="002259A1"/>
    <w:rsid w:val="00245D1F"/>
    <w:rsid w:val="00255365"/>
    <w:rsid w:val="002878AC"/>
    <w:rsid w:val="00321332"/>
    <w:rsid w:val="003865CD"/>
    <w:rsid w:val="00393457"/>
    <w:rsid w:val="003D47C1"/>
    <w:rsid w:val="004A4220"/>
    <w:rsid w:val="004D0A20"/>
    <w:rsid w:val="005249D0"/>
    <w:rsid w:val="005A07EC"/>
    <w:rsid w:val="00675D21"/>
    <w:rsid w:val="006F15FC"/>
    <w:rsid w:val="007308DB"/>
    <w:rsid w:val="0073136F"/>
    <w:rsid w:val="007371D0"/>
    <w:rsid w:val="00782A4E"/>
    <w:rsid w:val="007C61B2"/>
    <w:rsid w:val="007C74A7"/>
    <w:rsid w:val="007D09AD"/>
    <w:rsid w:val="007D117F"/>
    <w:rsid w:val="0080049E"/>
    <w:rsid w:val="00876813"/>
    <w:rsid w:val="008836A0"/>
    <w:rsid w:val="00883E4D"/>
    <w:rsid w:val="008B26F8"/>
    <w:rsid w:val="0090464C"/>
    <w:rsid w:val="009138CE"/>
    <w:rsid w:val="00944E26"/>
    <w:rsid w:val="009F0151"/>
    <w:rsid w:val="00A9192D"/>
    <w:rsid w:val="00A94303"/>
    <w:rsid w:val="00B4502F"/>
    <w:rsid w:val="00B566F8"/>
    <w:rsid w:val="00B71EE6"/>
    <w:rsid w:val="00B87BD8"/>
    <w:rsid w:val="00BA0552"/>
    <w:rsid w:val="00BC14B3"/>
    <w:rsid w:val="00BC7769"/>
    <w:rsid w:val="00C17391"/>
    <w:rsid w:val="00C401A6"/>
    <w:rsid w:val="00C50F5D"/>
    <w:rsid w:val="00CA5C4B"/>
    <w:rsid w:val="00CA786C"/>
    <w:rsid w:val="00D56832"/>
    <w:rsid w:val="00D56B10"/>
    <w:rsid w:val="00D63802"/>
    <w:rsid w:val="00DA2EDA"/>
    <w:rsid w:val="00E139DC"/>
    <w:rsid w:val="00EA3B1B"/>
    <w:rsid w:val="00EE65A1"/>
    <w:rsid w:val="00EF61A7"/>
    <w:rsid w:val="00EF6B5B"/>
    <w:rsid w:val="00F27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8FAA3D"/>
  <w15:docId w15:val="{C2B47E1A-500B-445B-B114-3A99DEF7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rPr>
  </w:style>
  <w:style w:type="paragraph" w:styleId="Nagwek1">
    <w:name w:val="heading 1"/>
    <w:basedOn w:val="Normalny"/>
    <w:uiPriority w:val="9"/>
    <w:qFormat/>
    <w:pPr>
      <w:spacing w:before="40"/>
      <w:ind w:left="580" w:hanging="480"/>
      <w:outlineLvl w:val="0"/>
    </w:pPr>
    <w:rPr>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21"/>
      <w:ind w:left="581" w:hanging="481"/>
      <w:jc w:val="both"/>
    </w:pPr>
    <w:rPr>
      <w:sz w:val="14"/>
      <w:szCs w:val="14"/>
    </w:rPr>
  </w:style>
  <w:style w:type="paragraph" w:styleId="Akapitzlist">
    <w:name w:val="List Paragraph"/>
    <w:basedOn w:val="Normalny"/>
    <w:uiPriority w:val="1"/>
    <w:qFormat/>
    <w:pPr>
      <w:spacing w:before="23"/>
      <w:ind w:left="581" w:hanging="481"/>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E139DC"/>
    <w:rPr>
      <w:sz w:val="16"/>
      <w:szCs w:val="16"/>
    </w:rPr>
  </w:style>
  <w:style w:type="paragraph" w:styleId="Tekstkomentarza">
    <w:name w:val="annotation text"/>
    <w:basedOn w:val="Normalny"/>
    <w:link w:val="TekstkomentarzaZnak"/>
    <w:uiPriority w:val="99"/>
    <w:semiHidden/>
    <w:unhideWhenUsed/>
    <w:rsid w:val="00E139DC"/>
    <w:rPr>
      <w:sz w:val="20"/>
      <w:szCs w:val="20"/>
    </w:rPr>
  </w:style>
  <w:style w:type="character" w:customStyle="1" w:styleId="TekstkomentarzaZnak">
    <w:name w:val="Tekst komentarza Znak"/>
    <w:basedOn w:val="Domylnaczcionkaakapitu"/>
    <w:link w:val="Tekstkomentarza"/>
    <w:uiPriority w:val="99"/>
    <w:semiHidden/>
    <w:rsid w:val="00E139DC"/>
    <w:rPr>
      <w:rFonts w:ascii="Verdana" w:eastAsia="Verdana" w:hAnsi="Verdana" w:cs="Verdana"/>
      <w:sz w:val="20"/>
      <w:szCs w:val="20"/>
    </w:rPr>
  </w:style>
  <w:style w:type="paragraph" w:styleId="Tematkomentarza">
    <w:name w:val="annotation subject"/>
    <w:basedOn w:val="Tekstkomentarza"/>
    <w:next w:val="Tekstkomentarza"/>
    <w:link w:val="TematkomentarzaZnak"/>
    <w:uiPriority w:val="99"/>
    <w:semiHidden/>
    <w:unhideWhenUsed/>
    <w:rsid w:val="00E139DC"/>
    <w:rPr>
      <w:b/>
      <w:bCs/>
    </w:rPr>
  </w:style>
  <w:style w:type="character" w:customStyle="1" w:styleId="TematkomentarzaZnak">
    <w:name w:val="Temat komentarza Znak"/>
    <w:basedOn w:val="TekstkomentarzaZnak"/>
    <w:link w:val="Tematkomentarza"/>
    <w:uiPriority w:val="99"/>
    <w:semiHidden/>
    <w:rsid w:val="00E139DC"/>
    <w:rPr>
      <w:rFonts w:ascii="Verdana" w:eastAsia="Verdana" w:hAnsi="Verdana" w:cs="Verdana"/>
      <w:b/>
      <w:bCs/>
      <w:sz w:val="20"/>
      <w:szCs w:val="20"/>
    </w:rPr>
  </w:style>
  <w:style w:type="paragraph" w:styleId="Tekstdymka">
    <w:name w:val="Balloon Text"/>
    <w:basedOn w:val="Normalny"/>
    <w:link w:val="TekstdymkaZnak"/>
    <w:uiPriority w:val="99"/>
    <w:semiHidden/>
    <w:unhideWhenUsed/>
    <w:rsid w:val="00E139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9DC"/>
    <w:rPr>
      <w:rFonts w:ascii="Segoe UI" w:eastAsia="Verdana" w:hAnsi="Segoe UI" w:cs="Segoe UI"/>
      <w:sz w:val="18"/>
      <w:szCs w:val="18"/>
    </w:rPr>
  </w:style>
  <w:style w:type="character" w:styleId="Hipercze">
    <w:name w:val="Hyperlink"/>
    <w:basedOn w:val="Domylnaczcionkaakapitu"/>
    <w:uiPriority w:val="99"/>
    <w:unhideWhenUsed/>
    <w:rsid w:val="00E139DC"/>
    <w:rPr>
      <w:color w:val="0000FF" w:themeColor="hyperlink"/>
      <w:u w:val="single"/>
    </w:rPr>
  </w:style>
  <w:style w:type="character" w:customStyle="1" w:styleId="Nevyeenzmnka1">
    <w:name w:val="Nevyřešená zmínka1"/>
    <w:basedOn w:val="Domylnaczcionkaakapitu"/>
    <w:uiPriority w:val="99"/>
    <w:semiHidden/>
    <w:unhideWhenUsed/>
    <w:rsid w:val="00E139DC"/>
    <w:rPr>
      <w:color w:val="605E5C"/>
      <w:shd w:val="clear" w:color="auto" w:fill="E1DFDD"/>
    </w:rPr>
  </w:style>
  <w:style w:type="paragraph" w:styleId="Nagwek">
    <w:name w:val="header"/>
    <w:basedOn w:val="Normalny"/>
    <w:link w:val="NagwekZnak"/>
    <w:uiPriority w:val="99"/>
    <w:unhideWhenUsed/>
    <w:rsid w:val="00C401A6"/>
    <w:pPr>
      <w:tabs>
        <w:tab w:val="center" w:pos="4536"/>
        <w:tab w:val="right" w:pos="9072"/>
      </w:tabs>
    </w:pPr>
  </w:style>
  <w:style w:type="character" w:customStyle="1" w:styleId="NagwekZnak">
    <w:name w:val="Nagłówek Znak"/>
    <w:basedOn w:val="Domylnaczcionkaakapitu"/>
    <w:link w:val="Nagwek"/>
    <w:uiPriority w:val="99"/>
    <w:rsid w:val="00C401A6"/>
    <w:rPr>
      <w:rFonts w:ascii="Verdana" w:eastAsia="Verdana" w:hAnsi="Verdana" w:cs="Verdana"/>
    </w:rPr>
  </w:style>
  <w:style w:type="paragraph" w:styleId="Stopka">
    <w:name w:val="footer"/>
    <w:basedOn w:val="Normalny"/>
    <w:link w:val="StopkaZnak"/>
    <w:uiPriority w:val="99"/>
    <w:unhideWhenUsed/>
    <w:rsid w:val="00C401A6"/>
    <w:pPr>
      <w:tabs>
        <w:tab w:val="center" w:pos="4536"/>
        <w:tab w:val="right" w:pos="9072"/>
      </w:tabs>
    </w:pPr>
  </w:style>
  <w:style w:type="character" w:customStyle="1" w:styleId="StopkaZnak">
    <w:name w:val="Stopka Znak"/>
    <w:basedOn w:val="Domylnaczcionkaakapitu"/>
    <w:link w:val="Stopka"/>
    <w:uiPriority w:val="99"/>
    <w:rsid w:val="00C401A6"/>
    <w:rPr>
      <w:rFonts w:ascii="Verdana" w:eastAsia="Verdana" w:hAnsi="Verdana" w:cs="Verdana"/>
    </w:rPr>
  </w:style>
  <w:style w:type="character" w:styleId="Nierozpoznanawzmianka">
    <w:name w:val="Unresolved Mention"/>
    <w:basedOn w:val="Domylnaczcionkaakapitu"/>
    <w:uiPriority w:val="99"/>
    <w:semiHidden/>
    <w:unhideWhenUsed/>
    <w:rsid w:val="0022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07376">
      <w:bodyDiv w:val="1"/>
      <w:marLeft w:val="0"/>
      <w:marRight w:val="0"/>
      <w:marTop w:val="0"/>
      <w:marBottom w:val="0"/>
      <w:divBdr>
        <w:top w:val="none" w:sz="0" w:space="0" w:color="auto"/>
        <w:left w:val="none" w:sz="0" w:space="0" w:color="auto"/>
        <w:bottom w:val="none" w:sz="0" w:space="0" w:color="auto"/>
        <w:right w:val="none" w:sz="0" w:space="0" w:color="auto"/>
      </w:divBdr>
      <w:divsChild>
        <w:div w:id="12715493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ace.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1FB9-72F9-465A-A68B-A32F2336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2875</Words>
  <Characters>17253</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Všeobecné obchodní podmínky Coface Czech Credit Management Services, spol</vt:lpstr>
    </vt:vector>
  </TitlesOfParts>
  <Company>Coface</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Coface Czech Credit Management Services, spol</dc:title>
  <dc:creator>Edvard Mertin</dc:creator>
  <cp:lastModifiedBy>JASINSKI Maciej</cp:lastModifiedBy>
  <cp:revision>2</cp:revision>
  <dcterms:created xsi:type="dcterms:W3CDTF">2023-12-15T21:58:00Z</dcterms:created>
  <dcterms:modified xsi:type="dcterms:W3CDTF">2023-12-15T21:58:00Z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Microsoft® Word 2010</vt:lpwstr>
  </property>
  <property fmtid="{D5CDD505-2E9C-101B-9397-08002B2CF9AE}" pid="4" name="LastSaved">
    <vt:filetime>2017-08-02T00:00:00Z</vt:filetime>
  </property>
</Properties>
</file>